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2B11" w14:textId="4BA8F80A" w:rsidR="00D55CC2" w:rsidRPr="00BB78EB" w:rsidRDefault="00B13E43" w:rsidP="00620E67">
      <w:pPr>
        <w:pStyle w:val="Heading1NotNumbered"/>
        <w:rPr>
          <w:sz w:val="44"/>
          <w:szCs w:val="20"/>
        </w:rPr>
      </w:pPr>
      <w:r w:rsidRPr="00B13E43">
        <w:rPr>
          <w:sz w:val="44"/>
          <w:szCs w:val="20"/>
        </w:rPr>
        <w:t>Brett Group Occupational Defined Contribution Pension Scheme</w:t>
      </w:r>
      <w:r>
        <w:rPr>
          <w:sz w:val="44"/>
          <w:szCs w:val="20"/>
        </w:rPr>
        <w:t xml:space="preserve"> </w:t>
      </w:r>
      <w:r w:rsidR="00066E71">
        <w:rPr>
          <w:sz w:val="44"/>
          <w:szCs w:val="20"/>
        </w:rPr>
        <w:t xml:space="preserve">- </w:t>
      </w:r>
      <w:r w:rsidR="00295537" w:rsidRPr="00BB78EB">
        <w:rPr>
          <w:sz w:val="44"/>
          <w:szCs w:val="20"/>
        </w:rPr>
        <w:t xml:space="preserve">Implementation </w:t>
      </w:r>
      <w:r w:rsidR="00A23D23">
        <w:rPr>
          <w:sz w:val="44"/>
          <w:szCs w:val="20"/>
        </w:rPr>
        <w:t>S</w:t>
      </w:r>
      <w:r w:rsidR="00295537" w:rsidRPr="00BB78EB">
        <w:rPr>
          <w:sz w:val="44"/>
          <w:szCs w:val="20"/>
        </w:rPr>
        <w:t>tatement</w:t>
      </w:r>
      <w:r w:rsidR="00BF0028">
        <w:rPr>
          <w:sz w:val="44"/>
          <w:szCs w:val="20"/>
        </w:rPr>
        <w:t xml:space="preserve"> as </w:t>
      </w:r>
      <w:proofErr w:type="gramStart"/>
      <w:r w:rsidR="00BF0028">
        <w:rPr>
          <w:sz w:val="44"/>
          <w:szCs w:val="20"/>
        </w:rPr>
        <w:t>at</w:t>
      </w:r>
      <w:proofErr w:type="gramEnd"/>
      <w:r w:rsidR="00BF0028">
        <w:rPr>
          <w:sz w:val="44"/>
          <w:szCs w:val="20"/>
        </w:rPr>
        <w:t xml:space="preserve"> 3</w:t>
      </w:r>
      <w:r w:rsidR="00B4684C">
        <w:rPr>
          <w:sz w:val="44"/>
          <w:szCs w:val="20"/>
        </w:rPr>
        <w:t>1 May 202</w:t>
      </w:r>
      <w:r w:rsidR="002C4C5A">
        <w:rPr>
          <w:sz w:val="44"/>
          <w:szCs w:val="20"/>
        </w:rPr>
        <w:t>3</w:t>
      </w:r>
    </w:p>
    <w:p w14:paraId="1909054E" w14:textId="5655965A" w:rsidR="004D01BD" w:rsidRPr="001068FB" w:rsidRDefault="0090015B" w:rsidP="001068FB">
      <w:pPr>
        <w:pStyle w:val="ListBullet3"/>
        <w:numPr>
          <w:ilvl w:val="0"/>
          <w:numId w:val="0"/>
        </w:numPr>
        <w:rPr>
          <w:i/>
          <w:iCs/>
        </w:rPr>
      </w:pPr>
      <w:r>
        <w:t>T</w:t>
      </w:r>
      <w:r w:rsidR="004C454D">
        <w:t>his Implement</w:t>
      </w:r>
      <w:r w:rsidR="00666041">
        <w:t>ation</w:t>
      </w:r>
      <w:r w:rsidR="004C454D">
        <w:t xml:space="preserve"> Statement </w:t>
      </w:r>
      <w:r>
        <w:t>complies</w:t>
      </w:r>
      <w:r w:rsidR="004C454D">
        <w:t xml:space="preserve"> with the </w:t>
      </w:r>
      <w:r w:rsidR="001068FB" w:rsidRPr="001068FB">
        <w:rPr>
          <w:i/>
          <w:iCs/>
        </w:rPr>
        <w:t>Occupational Pension Scheme (Investment) Regulations</w:t>
      </w:r>
      <w:r w:rsidR="001068FB">
        <w:rPr>
          <w:i/>
          <w:iCs/>
        </w:rPr>
        <w:t xml:space="preserve"> </w:t>
      </w:r>
      <w:r w:rsidR="001068FB" w:rsidRPr="001068FB">
        <w:rPr>
          <w:i/>
          <w:iCs/>
        </w:rPr>
        <w:t>2005</w:t>
      </w:r>
      <w:r w:rsidR="004C454D" w:rsidRPr="0090015B">
        <w:rPr>
          <w:i/>
          <w:iCs/>
        </w:rPr>
        <w:t xml:space="preserve"> (as amended)</w:t>
      </w:r>
      <w:r w:rsidR="004D01BD">
        <w:t xml:space="preserve"> to:</w:t>
      </w:r>
    </w:p>
    <w:p w14:paraId="4DC12DFE" w14:textId="3F8A5DEA" w:rsidR="004D01BD" w:rsidRDefault="004D01BD" w:rsidP="00666041">
      <w:pPr>
        <w:pStyle w:val="ListBullet3"/>
        <w:numPr>
          <w:ilvl w:val="0"/>
          <w:numId w:val="24"/>
        </w:numPr>
      </w:pPr>
      <w:r>
        <w:t xml:space="preserve">Provide </w:t>
      </w:r>
      <w:r w:rsidR="00EE0713">
        <w:t>information on how</w:t>
      </w:r>
      <w:r w:rsidR="007A5997">
        <w:t>, and the extent to which,</w:t>
      </w:r>
      <w:r w:rsidR="00EE0713">
        <w:t xml:space="preserve"> the Trustee</w:t>
      </w:r>
      <w:r w:rsidR="00B13E43">
        <w:t>s’</w:t>
      </w:r>
      <w:r w:rsidR="00EE0713">
        <w:t xml:space="preserve"> policies </w:t>
      </w:r>
      <w:r w:rsidR="00B13E43">
        <w:t xml:space="preserve">documented in its Statement of Investment Principles (“SIP”) </w:t>
      </w:r>
      <w:r w:rsidR="00EE0713">
        <w:t>been followed during the year</w:t>
      </w:r>
      <w:r w:rsidR="00477D02">
        <w:t xml:space="preserve"> ended</w:t>
      </w:r>
      <w:r w:rsidR="00A77E18">
        <w:t xml:space="preserve"> </w:t>
      </w:r>
      <w:r w:rsidR="00B13E43">
        <w:t>31 May</w:t>
      </w:r>
      <w:r w:rsidR="002E4442">
        <w:t xml:space="preserve"> 202</w:t>
      </w:r>
      <w:r w:rsidR="002C4C5A">
        <w:t xml:space="preserve">3 </w:t>
      </w:r>
      <w:r w:rsidR="00346930">
        <w:t>(“the reporting year”)</w:t>
      </w:r>
      <w:r w:rsidR="00A77E18">
        <w:t>.</w:t>
      </w:r>
    </w:p>
    <w:p w14:paraId="1A28FD5C" w14:textId="65AED08B" w:rsidR="00EE0713" w:rsidRDefault="004D01BD" w:rsidP="00666041">
      <w:pPr>
        <w:pStyle w:val="ListBullet3"/>
        <w:numPr>
          <w:ilvl w:val="0"/>
          <w:numId w:val="24"/>
        </w:numPr>
      </w:pPr>
      <w:r>
        <w:t>P</w:t>
      </w:r>
      <w:r w:rsidR="008B7367">
        <w:t>rovide</w:t>
      </w:r>
      <w:r w:rsidR="00EE0713">
        <w:t xml:space="preserve"> a summary of the voting behaviour and most significant votes cast</w:t>
      </w:r>
      <w:r w:rsidR="00477D02">
        <w:t xml:space="preserve"> during the</w:t>
      </w:r>
      <w:r w:rsidR="00346930">
        <w:t xml:space="preserve"> reporting</w:t>
      </w:r>
      <w:r w:rsidR="00477D02">
        <w:t xml:space="preserve"> year</w:t>
      </w:r>
      <w:r w:rsidR="00EE0713">
        <w:t>.</w:t>
      </w:r>
    </w:p>
    <w:p w14:paraId="27E70B88" w14:textId="60AC3E04" w:rsidR="00D06966" w:rsidRDefault="005573BD" w:rsidP="005573BD">
      <w:pPr>
        <w:pStyle w:val="ListBullet3"/>
        <w:numPr>
          <w:ilvl w:val="0"/>
          <w:numId w:val="0"/>
        </w:numPr>
      </w:pPr>
      <w:r w:rsidRPr="005573BD">
        <w:t xml:space="preserve">The Trustees produced a SIP in 2020 </w:t>
      </w:r>
      <w:r w:rsidR="00B10432">
        <w:t>which sets out details on the</w:t>
      </w:r>
      <w:r w:rsidRPr="005573BD">
        <w:t xml:space="preserve"> default arrangem</w:t>
      </w:r>
      <w:r w:rsidR="00B10432">
        <w:t>ent which was in place for the Scheme for the full reporting year.</w:t>
      </w:r>
      <w:r w:rsidRPr="005573BD">
        <w:t xml:space="preserve">  </w:t>
      </w:r>
    </w:p>
    <w:p w14:paraId="0D37D855" w14:textId="5ADB9B1B" w:rsidR="004D01BD" w:rsidRDefault="004D01BD" w:rsidP="0090015B">
      <w:pPr>
        <w:pStyle w:val="Heading2NotNumbered"/>
      </w:pPr>
      <w:bookmarkStart w:id="0" w:name="_Hlk47367301"/>
      <w:r>
        <w:t>Trustees</w:t>
      </w:r>
      <w:r w:rsidR="00BF0028">
        <w:t>’</w:t>
      </w:r>
      <w:r>
        <w:t xml:space="preserve"> policie</w:t>
      </w:r>
      <w:r w:rsidR="00B10432">
        <w:t>s</w:t>
      </w:r>
    </w:p>
    <w:bookmarkEnd w:id="0"/>
    <w:p w14:paraId="0565E1FC" w14:textId="04138F3A" w:rsidR="002B5872" w:rsidRDefault="00B4684C" w:rsidP="00D06966">
      <w:pPr>
        <w:pStyle w:val="ListBullet3"/>
        <w:numPr>
          <w:ilvl w:val="0"/>
          <w:numId w:val="0"/>
        </w:numPr>
      </w:pPr>
      <w:r>
        <w:t xml:space="preserve">This SIP was last </w:t>
      </w:r>
      <w:r w:rsidR="00AC34C0">
        <w:t>amended</w:t>
      </w:r>
      <w:r w:rsidR="002C4C5A">
        <w:t xml:space="preserve"> </w:t>
      </w:r>
      <w:r>
        <w:t xml:space="preserve">in December 2020. </w:t>
      </w:r>
      <w:r w:rsidR="00BF0028">
        <w:t xml:space="preserve">The table below lists the Trustees’ </w:t>
      </w:r>
      <w:r w:rsidR="00F1405A" w:rsidRPr="00F1405A">
        <w:t xml:space="preserve">various investment policies </w:t>
      </w:r>
      <w:r w:rsidR="00BF0028">
        <w:t xml:space="preserve">and </w:t>
      </w:r>
      <w:r w:rsidR="00F1405A" w:rsidRPr="00F1405A">
        <w:t>provides commentary on how and the extent to which the various policies were followed during the reporting year.</w:t>
      </w:r>
    </w:p>
    <w:p w14:paraId="10F5DD61" w14:textId="77777777" w:rsidR="00BF0028" w:rsidRDefault="00BF0028" w:rsidP="00D06966">
      <w:pPr>
        <w:pStyle w:val="ListBullet3"/>
        <w:numPr>
          <w:ilvl w:val="0"/>
          <w:numId w:val="0"/>
        </w:num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5268"/>
        <w:gridCol w:w="5268"/>
      </w:tblGrid>
      <w:tr w:rsidR="00B253EE" w14:paraId="41A64CE0" w14:textId="77777777" w:rsidTr="00B4684C">
        <w:trPr>
          <w:cnfStyle w:val="100000000000" w:firstRow="1" w:lastRow="0" w:firstColumn="0" w:lastColumn="0" w:oddVBand="0" w:evenVBand="0" w:oddHBand="0" w:evenHBand="0" w:firstRowFirstColumn="0" w:firstRowLastColumn="0" w:lastRowFirstColumn="0" w:lastRowLastColumn="0"/>
        </w:trPr>
        <w:tc>
          <w:tcPr>
            <w:tcW w:w="5268" w:type="dxa"/>
            <w:shd w:val="clear" w:color="auto" w:fill="F2F2F2" w:themeFill="background1" w:themeFillShade="F2"/>
            <w:vAlign w:val="center"/>
          </w:tcPr>
          <w:p w14:paraId="244AD4B1" w14:textId="54266104" w:rsidR="00B253EE" w:rsidRPr="00C90E3B" w:rsidRDefault="00B253EE" w:rsidP="00BF0028">
            <w:pPr>
              <w:pStyle w:val="ListBullet3"/>
              <w:numPr>
                <w:ilvl w:val="0"/>
                <w:numId w:val="0"/>
              </w:numPr>
              <w:rPr>
                <w:b/>
                <w:bCs/>
              </w:rPr>
            </w:pPr>
            <w:r>
              <w:rPr>
                <w:b/>
                <w:bCs/>
              </w:rPr>
              <w:t>Summary of Trustees</w:t>
            </w:r>
            <w:r w:rsidR="00BF0028">
              <w:rPr>
                <w:b/>
                <w:bCs/>
              </w:rPr>
              <w:t>’</w:t>
            </w:r>
            <w:r>
              <w:rPr>
                <w:b/>
                <w:bCs/>
              </w:rPr>
              <w:t xml:space="preserve"> </w:t>
            </w:r>
            <w:r w:rsidR="00BF0028">
              <w:rPr>
                <w:b/>
                <w:bCs/>
              </w:rPr>
              <w:t>p</w:t>
            </w:r>
            <w:r w:rsidRPr="00C90E3B">
              <w:rPr>
                <w:b/>
                <w:bCs/>
              </w:rPr>
              <w:t>olic</w:t>
            </w:r>
            <w:r w:rsidR="001068FB">
              <w:rPr>
                <w:b/>
                <w:bCs/>
              </w:rPr>
              <w:t>y</w:t>
            </w:r>
          </w:p>
        </w:tc>
        <w:tc>
          <w:tcPr>
            <w:tcW w:w="5268" w:type="dxa"/>
            <w:shd w:val="clear" w:color="auto" w:fill="F2F2F2" w:themeFill="background1" w:themeFillShade="F2"/>
            <w:vAlign w:val="center"/>
          </w:tcPr>
          <w:p w14:paraId="3566BE7B" w14:textId="5F64B935" w:rsidR="00B253EE" w:rsidRPr="00C90E3B" w:rsidRDefault="00B253EE" w:rsidP="00B4684C">
            <w:pPr>
              <w:pStyle w:val="ListBullet3"/>
              <w:numPr>
                <w:ilvl w:val="0"/>
                <w:numId w:val="0"/>
              </w:numPr>
              <w:rPr>
                <w:b/>
                <w:bCs/>
              </w:rPr>
            </w:pPr>
            <w:r w:rsidRPr="00C90E3B">
              <w:rPr>
                <w:b/>
                <w:bCs/>
              </w:rPr>
              <w:t>How the policy was followed</w:t>
            </w:r>
          </w:p>
        </w:tc>
      </w:tr>
      <w:tr w:rsidR="00B253EE" w14:paraId="349FD1FB" w14:textId="77777777" w:rsidTr="00B4684C">
        <w:tc>
          <w:tcPr>
            <w:tcW w:w="5268" w:type="dxa"/>
            <w:vAlign w:val="center"/>
          </w:tcPr>
          <w:p w14:paraId="23DFFF33" w14:textId="3213039C" w:rsidR="005F19ED" w:rsidRPr="00E407C1" w:rsidRDefault="00B253EE" w:rsidP="00BF0028">
            <w:pPr>
              <w:pStyle w:val="ListBullet3"/>
              <w:numPr>
                <w:ilvl w:val="0"/>
                <w:numId w:val="0"/>
              </w:numPr>
            </w:pPr>
            <w:r>
              <w:rPr>
                <w:b/>
                <w:bCs/>
              </w:rPr>
              <w:t>Environmental</w:t>
            </w:r>
            <w:r w:rsidR="00AC34C0">
              <w:rPr>
                <w:b/>
                <w:bCs/>
              </w:rPr>
              <w:t>,</w:t>
            </w:r>
            <w:r>
              <w:rPr>
                <w:b/>
                <w:bCs/>
              </w:rPr>
              <w:t xml:space="preserve"> </w:t>
            </w:r>
            <w:r w:rsidR="001068FB">
              <w:rPr>
                <w:b/>
                <w:bCs/>
              </w:rPr>
              <w:t>S</w:t>
            </w:r>
            <w:r>
              <w:rPr>
                <w:b/>
                <w:bCs/>
              </w:rPr>
              <w:t>ocial and Governance (“ESG”)</w:t>
            </w:r>
            <w:r w:rsidRPr="00B253EE">
              <w:rPr>
                <w:b/>
                <w:bCs/>
              </w:rPr>
              <w:t xml:space="preserve"> and </w:t>
            </w:r>
            <w:r w:rsidR="00BF0028">
              <w:rPr>
                <w:b/>
                <w:bCs/>
              </w:rPr>
              <w:t>v</w:t>
            </w:r>
            <w:r w:rsidRPr="00B253EE">
              <w:rPr>
                <w:b/>
                <w:bCs/>
              </w:rPr>
              <w:t xml:space="preserve">oting </w:t>
            </w:r>
            <w:r w:rsidR="00BF0028">
              <w:rPr>
                <w:b/>
                <w:bCs/>
              </w:rPr>
              <w:t>r</w:t>
            </w:r>
            <w:r w:rsidRPr="00B253EE">
              <w:rPr>
                <w:b/>
                <w:bCs/>
              </w:rPr>
              <w:t>ights</w:t>
            </w:r>
            <w:r>
              <w:rPr>
                <w:b/>
                <w:bCs/>
              </w:rPr>
              <w:t>:</w:t>
            </w:r>
            <w:r>
              <w:t xml:space="preserve"> </w:t>
            </w:r>
            <w:r w:rsidRPr="00542C31">
              <w:t xml:space="preserve"> </w:t>
            </w:r>
            <w:r w:rsidR="005F19ED" w:rsidRPr="00EB258B">
              <w:t>The policy sets out the Trustee</w:t>
            </w:r>
            <w:r w:rsidR="00EB258B" w:rsidRPr="00EB258B">
              <w:t>s’</w:t>
            </w:r>
            <w:r w:rsidR="005F19ED" w:rsidRPr="00EB258B">
              <w:t xml:space="preserve"> belief that there may be material financial risks relating to ESG issues. The Trustee</w:t>
            </w:r>
            <w:r w:rsidR="00EB258B" w:rsidRPr="00EB258B">
              <w:t>s</w:t>
            </w:r>
            <w:r w:rsidR="005F19ED" w:rsidRPr="00EB258B">
              <w:t xml:space="preserve"> ha</w:t>
            </w:r>
            <w:r w:rsidR="00EB258B" w:rsidRPr="00EB258B">
              <w:t>ve</w:t>
            </w:r>
            <w:r w:rsidR="005F19ED" w:rsidRPr="00EB258B">
              <w:t xml:space="preserve"> delegated the exercise of rights (including voting rights), the ongoing monitoring and the management of ESG risks (including those related to climate change) to the Scheme’s investment managers. The Trustee</w:t>
            </w:r>
            <w:r w:rsidR="00EB258B" w:rsidRPr="00EB258B">
              <w:t>s</w:t>
            </w:r>
            <w:r w:rsidR="005F19ED" w:rsidRPr="00EB258B">
              <w:t xml:space="preserve"> require investment managers to take ESG risks into consideration within their decision-making and encourages managers to engage with investee companies on any material matter </w:t>
            </w:r>
            <w:r w:rsidR="00EB258B" w:rsidRPr="00EB258B">
              <w:t>(</w:t>
            </w:r>
            <w:r w:rsidR="005F19ED" w:rsidRPr="00EB258B">
              <w:t xml:space="preserve">such as strategy, capital structure, conflicts of interest policies, risks, social and environmental </w:t>
            </w:r>
            <w:proofErr w:type="gramStart"/>
            <w:r w:rsidR="005F19ED" w:rsidRPr="00EB258B">
              <w:t>impact</w:t>
            </w:r>
            <w:proofErr w:type="gramEnd"/>
            <w:r w:rsidR="005F19ED" w:rsidRPr="00EB258B">
              <w:t xml:space="preserve"> and corporate governance</w:t>
            </w:r>
            <w:r w:rsidR="00EB258B" w:rsidRPr="00EB258B">
              <w:t>).</w:t>
            </w:r>
            <w:r w:rsidR="00E407C1">
              <w:t xml:space="preserve"> The Trustees will monitor this to ensure managers act in line with their policy.</w:t>
            </w:r>
          </w:p>
        </w:tc>
        <w:tc>
          <w:tcPr>
            <w:tcW w:w="5268" w:type="dxa"/>
            <w:vAlign w:val="center"/>
          </w:tcPr>
          <w:p w14:paraId="43A88FC2" w14:textId="5F267054" w:rsidR="00B253EE" w:rsidRPr="00B253EE" w:rsidRDefault="00B253EE" w:rsidP="00BF0028">
            <w:pPr>
              <w:pStyle w:val="ListBullet3"/>
              <w:numPr>
                <w:ilvl w:val="0"/>
                <w:numId w:val="0"/>
              </w:numPr>
            </w:pPr>
            <w:r w:rsidRPr="00077ABE">
              <w:t xml:space="preserve">The Trustees recognise that how </w:t>
            </w:r>
            <w:r w:rsidR="001068FB">
              <w:t>managers</w:t>
            </w:r>
            <w:r w:rsidRPr="00077ABE">
              <w:t xml:space="preserve"> do this is dependent on the issues that arise and the characteristics of the asset classes in which investments are held. </w:t>
            </w:r>
            <w:r w:rsidR="00077ABE" w:rsidRPr="00077ABE">
              <w:t xml:space="preserve">The </w:t>
            </w:r>
            <w:r w:rsidRPr="00077ABE">
              <w:t xml:space="preserve">Trustees have obtained </w:t>
            </w:r>
            <w:r w:rsidR="00077ABE" w:rsidRPr="00077ABE">
              <w:t xml:space="preserve">the </w:t>
            </w:r>
            <w:r w:rsidRPr="00077ABE">
              <w:t xml:space="preserve">voting information </w:t>
            </w:r>
            <w:r w:rsidR="00077ABE" w:rsidRPr="00077ABE">
              <w:t xml:space="preserve">which is </w:t>
            </w:r>
            <w:r w:rsidRPr="00077ABE">
              <w:t>set out in this stat</w:t>
            </w:r>
            <w:r w:rsidR="00077ABE" w:rsidRPr="00077ABE">
              <w:t>ement.</w:t>
            </w:r>
            <w:r w:rsidR="00070E7D">
              <w:t xml:space="preserve"> </w:t>
            </w:r>
            <w:r w:rsidR="00070E7D" w:rsidRPr="00070E7D">
              <w:t>The Trustees were satisfied that they followed the policy to a sufficient extent</w:t>
            </w:r>
            <w:r w:rsidR="00070E7D">
              <w:t>.</w:t>
            </w:r>
          </w:p>
        </w:tc>
      </w:tr>
      <w:tr w:rsidR="00B253EE" w14:paraId="3DF084A8" w14:textId="77777777" w:rsidTr="00B4684C">
        <w:tc>
          <w:tcPr>
            <w:tcW w:w="5268" w:type="dxa"/>
            <w:vAlign w:val="center"/>
          </w:tcPr>
          <w:p w14:paraId="2B1156B8" w14:textId="6D4EDCEC" w:rsidR="00077ABE" w:rsidRPr="00077ABE" w:rsidRDefault="00077ABE" w:rsidP="00BF0028">
            <w:pPr>
              <w:pStyle w:val="ListBullet3"/>
              <w:numPr>
                <w:ilvl w:val="0"/>
                <w:numId w:val="0"/>
              </w:numPr>
            </w:pPr>
            <w:r>
              <w:rPr>
                <w:b/>
                <w:bCs/>
              </w:rPr>
              <w:t xml:space="preserve">Review of Statement of Investment Principles: </w:t>
            </w:r>
            <w:r w:rsidRPr="00077ABE">
              <w:t xml:space="preserve">The SIP will be reviewed </w:t>
            </w:r>
            <w:r w:rsidR="00BF0028">
              <w:t xml:space="preserve">at least every three years </w:t>
            </w:r>
            <w:r w:rsidRPr="00077ABE">
              <w:t>or following any significant events.</w:t>
            </w:r>
            <w:r w:rsidR="007738B8">
              <w:t xml:space="preserve"> The Trustees will receive annual confirmation of the appropriateness of the SIP</w:t>
            </w:r>
            <w:r w:rsidR="0098536B">
              <w:t>.</w:t>
            </w:r>
          </w:p>
        </w:tc>
        <w:tc>
          <w:tcPr>
            <w:tcW w:w="5268" w:type="dxa"/>
            <w:vAlign w:val="center"/>
          </w:tcPr>
          <w:p w14:paraId="53389D1F" w14:textId="7D6A4C3A" w:rsidR="00B253EE" w:rsidRPr="00077ABE" w:rsidRDefault="00077ABE" w:rsidP="00BF0028">
            <w:pPr>
              <w:pStyle w:val="ListBullet3"/>
              <w:numPr>
                <w:ilvl w:val="0"/>
                <w:numId w:val="0"/>
              </w:numPr>
            </w:pPr>
            <w:r w:rsidRPr="00077ABE">
              <w:t xml:space="preserve">The Trustees produced a Statement of Investment Principles in </w:t>
            </w:r>
            <w:r w:rsidR="002C4C5A">
              <w:t>2020,</w:t>
            </w:r>
            <w:r w:rsidRPr="00077ABE">
              <w:t xml:space="preserve"> setting out details of the default strategy for members. </w:t>
            </w:r>
            <w:r w:rsidR="007738B8">
              <w:t xml:space="preserve">The </w:t>
            </w:r>
            <w:r w:rsidR="00BF0028">
              <w:t xml:space="preserve">Trustees’ professional advisers </w:t>
            </w:r>
            <w:r w:rsidR="007738B8">
              <w:t>confirmed the SIP was appropriate.</w:t>
            </w:r>
          </w:p>
        </w:tc>
      </w:tr>
      <w:tr w:rsidR="00B253EE" w14:paraId="72490760" w14:textId="77777777" w:rsidTr="00B4684C">
        <w:tc>
          <w:tcPr>
            <w:tcW w:w="5268" w:type="dxa"/>
            <w:vAlign w:val="center"/>
          </w:tcPr>
          <w:p w14:paraId="43EBCAC8" w14:textId="6C504D71" w:rsidR="007738B8" w:rsidRPr="00B253EE" w:rsidRDefault="007738B8" w:rsidP="00BF0028">
            <w:pPr>
              <w:pStyle w:val="ListBullet3"/>
              <w:numPr>
                <w:ilvl w:val="0"/>
                <w:numId w:val="0"/>
              </w:numPr>
              <w:rPr>
                <w:b/>
                <w:bCs/>
              </w:rPr>
            </w:pPr>
            <w:r>
              <w:rPr>
                <w:b/>
                <w:bCs/>
              </w:rPr>
              <w:t xml:space="preserve">Review of </w:t>
            </w:r>
            <w:r w:rsidR="001068FB">
              <w:rPr>
                <w:b/>
                <w:bCs/>
              </w:rPr>
              <w:t>i</w:t>
            </w:r>
            <w:r>
              <w:rPr>
                <w:b/>
                <w:bCs/>
              </w:rPr>
              <w:t xml:space="preserve">nvestments held: </w:t>
            </w:r>
            <w:r w:rsidRPr="007738B8">
              <w:t>The Trustees’ policy is to regularly review the investments over which they retain control and to obtain written advice about them when necessary.</w:t>
            </w:r>
          </w:p>
        </w:tc>
        <w:tc>
          <w:tcPr>
            <w:tcW w:w="5268" w:type="dxa"/>
            <w:vAlign w:val="center"/>
          </w:tcPr>
          <w:p w14:paraId="47CF2EF3" w14:textId="331C3DFC" w:rsidR="00B253EE" w:rsidRPr="007738B8" w:rsidRDefault="00BC2895" w:rsidP="00BF0028">
            <w:pPr>
              <w:pStyle w:val="ListBullet3"/>
              <w:numPr>
                <w:ilvl w:val="0"/>
                <w:numId w:val="0"/>
              </w:numPr>
            </w:pPr>
            <w:r w:rsidRPr="00BC2895">
              <w:t xml:space="preserve">The Trustees with help from their professional advisers monitor the investments to ensure they remain in line with their requirements. To help with monitoring the Trustees receive valuation and performance monitoring reports from the platform. The Trustees were satisfied that they </w:t>
            </w:r>
            <w:r w:rsidRPr="00BC2895">
              <w:lastRenderedPageBreak/>
              <w:t>followed the policy to a sufficient extent.</w:t>
            </w:r>
            <w:r w:rsidR="00AC61FD">
              <w:t xml:space="preserve"> </w:t>
            </w:r>
            <w:r w:rsidR="00AC61FD" w:rsidRPr="00AC61FD">
              <w:t>No new investments were made over the reporting year</w:t>
            </w:r>
            <w:r w:rsidR="00AC61FD">
              <w:t>.</w:t>
            </w:r>
          </w:p>
        </w:tc>
      </w:tr>
      <w:tr w:rsidR="00B253EE" w14:paraId="61448776" w14:textId="77777777" w:rsidTr="00B4684C">
        <w:tc>
          <w:tcPr>
            <w:tcW w:w="5268" w:type="dxa"/>
            <w:vAlign w:val="center"/>
          </w:tcPr>
          <w:p w14:paraId="6B81E205" w14:textId="7963A398" w:rsidR="00B253EE" w:rsidRPr="00B253EE" w:rsidRDefault="007738B8" w:rsidP="00BF0028">
            <w:pPr>
              <w:pStyle w:val="ListBullet3"/>
              <w:numPr>
                <w:ilvl w:val="0"/>
                <w:numId w:val="0"/>
              </w:numPr>
              <w:rPr>
                <w:b/>
                <w:bCs/>
              </w:rPr>
            </w:pPr>
            <w:r>
              <w:rPr>
                <w:b/>
                <w:bCs/>
              </w:rPr>
              <w:lastRenderedPageBreak/>
              <w:t xml:space="preserve">New investments: </w:t>
            </w:r>
            <w:r w:rsidR="001068FB" w:rsidRPr="001068FB">
              <w:t>T</w:t>
            </w:r>
            <w:r w:rsidRPr="00D06966">
              <w:t xml:space="preserve">he Trustees will </w:t>
            </w:r>
            <w:r w:rsidR="003E142B">
              <w:t xml:space="preserve">follow their selection criteria </w:t>
            </w:r>
            <w:r w:rsidR="00B4684C">
              <w:t xml:space="preserve">(including considering ESG capabilities) </w:t>
            </w:r>
            <w:r w:rsidR="003E142B">
              <w:t xml:space="preserve">and will </w:t>
            </w:r>
            <w:r w:rsidRPr="00D06966">
              <w:t>obtain written advice and consider whether future decisions about those investments should be delegated to the Investment Managers</w:t>
            </w:r>
            <w:r w:rsidR="00163EBC">
              <w:t>.</w:t>
            </w:r>
          </w:p>
        </w:tc>
        <w:tc>
          <w:tcPr>
            <w:tcW w:w="5268" w:type="dxa"/>
            <w:vAlign w:val="center"/>
          </w:tcPr>
          <w:p w14:paraId="70C8C543" w14:textId="3950853C" w:rsidR="00B253EE" w:rsidRPr="00C90E3B" w:rsidRDefault="00BF2416" w:rsidP="00B4684C">
            <w:pPr>
              <w:pStyle w:val="ListBullet3"/>
              <w:numPr>
                <w:ilvl w:val="0"/>
                <w:numId w:val="0"/>
              </w:numPr>
              <w:rPr>
                <w:b/>
                <w:bCs/>
              </w:rPr>
            </w:pPr>
            <w:r w:rsidRPr="00BF2416">
              <w:t>No new investments were made over the reporting year.</w:t>
            </w:r>
            <w:r>
              <w:rPr>
                <w:b/>
                <w:bCs/>
              </w:rPr>
              <w:t xml:space="preserve"> </w:t>
            </w:r>
          </w:p>
        </w:tc>
      </w:tr>
      <w:tr w:rsidR="002067C5" w14:paraId="78805703" w14:textId="77777777" w:rsidTr="00B4684C">
        <w:trPr>
          <w:trHeight w:val="916"/>
        </w:trPr>
        <w:tc>
          <w:tcPr>
            <w:tcW w:w="5268" w:type="dxa"/>
            <w:vAlign w:val="center"/>
          </w:tcPr>
          <w:p w14:paraId="72474F1D" w14:textId="12AD2A55" w:rsidR="002067C5" w:rsidRDefault="002067C5" w:rsidP="00BF0028">
            <w:pPr>
              <w:pStyle w:val="ListBullet3"/>
              <w:numPr>
                <w:ilvl w:val="0"/>
                <w:numId w:val="0"/>
              </w:numPr>
            </w:pPr>
            <w:r w:rsidRPr="002067C5">
              <w:rPr>
                <w:b/>
                <w:bCs/>
              </w:rPr>
              <w:t>Suitability of default arrangement</w:t>
            </w:r>
            <w:r>
              <w:t xml:space="preserve">: </w:t>
            </w:r>
            <w:r w:rsidRPr="002067C5">
              <w:t xml:space="preserve">The Trustees will ensure that the </w:t>
            </w:r>
            <w:r w:rsidR="00BF0028">
              <w:t>d</w:t>
            </w:r>
            <w:r w:rsidRPr="002067C5">
              <w:t xml:space="preserve">efault </w:t>
            </w:r>
            <w:r w:rsidR="00BF0028">
              <w:t>a</w:t>
            </w:r>
            <w:r w:rsidRPr="002067C5">
              <w:t>rrangement made available to members holds a suitably diversified range of securities</w:t>
            </w:r>
            <w:r>
              <w:t>. The Trustees will ensure sufficient assets in the default arrangement are liquid.</w:t>
            </w:r>
          </w:p>
        </w:tc>
        <w:tc>
          <w:tcPr>
            <w:tcW w:w="5268" w:type="dxa"/>
            <w:vAlign w:val="center"/>
          </w:tcPr>
          <w:p w14:paraId="54771C2A" w14:textId="3F71A25A" w:rsidR="002067C5" w:rsidRDefault="002067C5" w:rsidP="00BF0028">
            <w:pPr>
              <w:pStyle w:val="ListBullet3"/>
              <w:numPr>
                <w:ilvl w:val="0"/>
                <w:numId w:val="0"/>
              </w:numPr>
            </w:pPr>
            <w:r w:rsidRPr="002067C5">
              <w:t>The Trustees were satisfied that they followed the policy to a sufficient extent under the existing investment arrangements.</w:t>
            </w:r>
          </w:p>
        </w:tc>
      </w:tr>
      <w:tr w:rsidR="002067C5" w14:paraId="23435306" w14:textId="77777777" w:rsidTr="00B4684C">
        <w:tc>
          <w:tcPr>
            <w:tcW w:w="5268" w:type="dxa"/>
            <w:vAlign w:val="center"/>
          </w:tcPr>
          <w:p w14:paraId="6E971389" w14:textId="6DE1E954" w:rsidR="002067C5" w:rsidRPr="002067C5" w:rsidRDefault="002067C5" w:rsidP="00BF0028">
            <w:pPr>
              <w:pStyle w:val="ListBullet3"/>
              <w:numPr>
                <w:ilvl w:val="0"/>
                <w:numId w:val="0"/>
              </w:numPr>
            </w:pPr>
            <w:r w:rsidRPr="002067C5">
              <w:rPr>
                <w:b/>
                <w:bCs/>
              </w:rPr>
              <w:t xml:space="preserve">Investment restrictions: </w:t>
            </w:r>
            <w:r w:rsidRPr="002067C5">
              <w:t xml:space="preserve">Not to hold </w:t>
            </w:r>
            <w:proofErr w:type="gramStart"/>
            <w:r w:rsidRPr="002067C5">
              <w:t>in excess of</w:t>
            </w:r>
            <w:proofErr w:type="gramEnd"/>
            <w:r w:rsidRPr="002067C5">
              <w:t xml:space="preserve"> 5% of the Scheme’s assets in investments related to the Principal Employer</w:t>
            </w:r>
            <w:r w:rsidR="00BF0028">
              <w:t xml:space="preserve">; </w:t>
            </w:r>
            <w:r w:rsidRPr="00F1405A">
              <w:t xml:space="preserve">the assets of the </w:t>
            </w:r>
            <w:r w:rsidR="00BF0028">
              <w:t>d</w:t>
            </w:r>
            <w:r w:rsidRPr="00F1405A">
              <w:t xml:space="preserve">efault </w:t>
            </w:r>
            <w:r w:rsidR="00BF0028">
              <w:t>a</w:t>
            </w:r>
            <w:r w:rsidRPr="00F1405A">
              <w:t xml:space="preserve">rrangement </w:t>
            </w:r>
            <w:r>
              <w:t>being</w:t>
            </w:r>
            <w:r w:rsidRPr="00F1405A">
              <w:t xml:space="preserve"> predominantly invested in regulated markets</w:t>
            </w:r>
            <w:r w:rsidR="00BF0028">
              <w:t xml:space="preserve">; and </w:t>
            </w:r>
            <w:r>
              <w:t xml:space="preserve">only using derivatives for risk reduction and only borrowing </w:t>
            </w:r>
            <w:r w:rsidR="00401220">
              <w:t>where absolutely necessary.</w:t>
            </w:r>
          </w:p>
        </w:tc>
        <w:tc>
          <w:tcPr>
            <w:tcW w:w="5268" w:type="dxa"/>
            <w:vAlign w:val="center"/>
          </w:tcPr>
          <w:p w14:paraId="7834F90D" w14:textId="39D46AFF" w:rsidR="002067C5" w:rsidRDefault="00401220" w:rsidP="00BF0028">
            <w:pPr>
              <w:pStyle w:val="ListBullet3"/>
              <w:numPr>
                <w:ilvl w:val="0"/>
                <w:numId w:val="0"/>
              </w:numPr>
            </w:pPr>
            <w:r w:rsidRPr="00401220">
              <w:t>The Trustees were satisfied that they followed the policy to a sufficient extent under the existing investment arrangements.</w:t>
            </w:r>
          </w:p>
        </w:tc>
      </w:tr>
      <w:tr w:rsidR="003E142B" w14:paraId="7C01CA3C" w14:textId="77777777" w:rsidTr="00B4684C">
        <w:tc>
          <w:tcPr>
            <w:tcW w:w="5268" w:type="dxa"/>
            <w:vAlign w:val="center"/>
          </w:tcPr>
          <w:p w14:paraId="68D4C4D9" w14:textId="39100C00" w:rsidR="003E142B" w:rsidRDefault="003E142B" w:rsidP="00BF0028">
            <w:pPr>
              <w:pStyle w:val="ListBullet3"/>
              <w:numPr>
                <w:ilvl w:val="0"/>
                <w:numId w:val="0"/>
              </w:numPr>
            </w:pPr>
            <w:r w:rsidRPr="003E142B">
              <w:rPr>
                <w:b/>
                <w:bCs/>
              </w:rPr>
              <w:t xml:space="preserve">Review of </w:t>
            </w:r>
            <w:r w:rsidR="001068FB">
              <w:rPr>
                <w:b/>
                <w:bCs/>
              </w:rPr>
              <w:t>i</w:t>
            </w:r>
            <w:r w:rsidRPr="003E142B">
              <w:rPr>
                <w:b/>
                <w:bCs/>
              </w:rPr>
              <w:t xml:space="preserve">nvestment </w:t>
            </w:r>
            <w:r w:rsidR="001068FB">
              <w:rPr>
                <w:b/>
                <w:bCs/>
              </w:rPr>
              <w:t>m</w:t>
            </w:r>
            <w:r w:rsidRPr="003E142B">
              <w:rPr>
                <w:b/>
                <w:bCs/>
              </w:rPr>
              <w:t>anagers:</w:t>
            </w:r>
            <w:r>
              <w:t xml:space="preserve"> </w:t>
            </w:r>
            <w:r w:rsidR="00BF0028">
              <w:t xml:space="preserve">The </w:t>
            </w:r>
            <w:r w:rsidRPr="003E142B">
              <w:t>Trustees will review the appointment of the Investment Managers in accordance with their responsibilities</w:t>
            </w:r>
            <w:r>
              <w:t>.</w:t>
            </w:r>
          </w:p>
        </w:tc>
        <w:tc>
          <w:tcPr>
            <w:tcW w:w="5268" w:type="dxa"/>
            <w:vAlign w:val="center"/>
          </w:tcPr>
          <w:p w14:paraId="5BDB02A8" w14:textId="5735EEAF" w:rsidR="003E142B" w:rsidRDefault="003E142B" w:rsidP="00BF0028">
            <w:pPr>
              <w:pStyle w:val="ListBullet3"/>
              <w:numPr>
                <w:ilvl w:val="0"/>
                <w:numId w:val="0"/>
              </w:numPr>
            </w:pPr>
            <w:r w:rsidRPr="003E142B">
              <w:t>The Trustee</w:t>
            </w:r>
            <w:r w:rsidR="00752601">
              <w:t>s</w:t>
            </w:r>
            <w:r w:rsidR="002B5872">
              <w:t xml:space="preserve"> with help </w:t>
            </w:r>
            <w:r w:rsidR="00BF0028">
              <w:t xml:space="preserve">from their professional </w:t>
            </w:r>
            <w:r w:rsidR="00944D20">
              <w:t>advisers</w:t>
            </w:r>
            <w:r w:rsidR="00BF0028">
              <w:t xml:space="preserve"> </w:t>
            </w:r>
            <w:r w:rsidR="002B5872">
              <w:t>monitor</w:t>
            </w:r>
            <w:r w:rsidR="00BF0028">
              <w:t xml:space="preserve"> </w:t>
            </w:r>
            <w:r w:rsidR="002B5872">
              <w:t>the managers</w:t>
            </w:r>
            <w:r w:rsidR="00070E7D">
              <w:t xml:space="preserve"> to ensure they remain in line with their requirements</w:t>
            </w:r>
            <w:r w:rsidR="002B5872">
              <w:t>. T</w:t>
            </w:r>
            <w:r w:rsidR="001068FB">
              <w:t>o help with monitoring t</w:t>
            </w:r>
            <w:r w:rsidR="002B5872">
              <w:t>he Trustees</w:t>
            </w:r>
            <w:r w:rsidRPr="003E142B">
              <w:t xml:space="preserve"> receive performance monitoring reports from the </w:t>
            </w:r>
            <w:r w:rsidR="00BF0028">
              <w:t>p</w:t>
            </w:r>
            <w:r w:rsidRPr="003E142B">
              <w:t xml:space="preserve">latform </w:t>
            </w:r>
            <w:r w:rsidR="00BF0028">
              <w:t>p</w:t>
            </w:r>
            <w:r w:rsidRPr="003E142B">
              <w:t xml:space="preserve">rovider which include performance relating to the </w:t>
            </w:r>
            <w:r w:rsidR="00BF0028">
              <w:t>d</w:t>
            </w:r>
            <w:r w:rsidRPr="003E142B">
              <w:t xml:space="preserve">efault </w:t>
            </w:r>
            <w:r w:rsidR="00BF0028">
              <w:t>a</w:t>
            </w:r>
            <w:r w:rsidRPr="003E142B">
              <w:t>rrangement</w:t>
            </w:r>
            <w:r w:rsidR="00070E7D">
              <w:t xml:space="preserve">. </w:t>
            </w:r>
            <w:r w:rsidR="00070E7D" w:rsidRPr="00070E7D">
              <w:t>The Trustees were satisfied that they followed the policy to a sufficient extent</w:t>
            </w:r>
            <w:r w:rsidR="00070E7D">
              <w:t>.</w:t>
            </w:r>
          </w:p>
        </w:tc>
      </w:tr>
      <w:tr w:rsidR="003E142B" w14:paraId="308EF0A5" w14:textId="77777777" w:rsidTr="00B4684C">
        <w:tc>
          <w:tcPr>
            <w:tcW w:w="5268" w:type="dxa"/>
            <w:vAlign w:val="center"/>
          </w:tcPr>
          <w:p w14:paraId="6BB84C84" w14:textId="3F100DE1" w:rsidR="003E142B" w:rsidRDefault="003E142B" w:rsidP="00BF0028">
            <w:pPr>
              <w:pStyle w:val="ListBullet3"/>
              <w:numPr>
                <w:ilvl w:val="0"/>
                <w:numId w:val="0"/>
              </w:numPr>
            </w:pPr>
            <w:r w:rsidRPr="002B5872">
              <w:rPr>
                <w:b/>
                <w:bCs/>
              </w:rPr>
              <w:t>Fund manager remuneration</w:t>
            </w:r>
            <w:r w:rsidR="002B5872">
              <w:t xml:space="preserve">: </w:t>
            </w:r>
            <w:r w:rsidR="001068FB">
              <w:t>To e</w:t>
            </w:r>
            <w:r w:rsidR="002B5872">
              <w:t xml:space="preserve">nsure </w:t>
            </w:r>
            <w:r w:rsidR="002B5872" w:rsidRPr="003E142B">
              <w:t>fee level</w:t>
            </w:r>
            <w:r w:rsidR="002B5872">
              <w:t>s</w:t>
            </w:r>
            <w:r w:rsidR="002B5872" w:rsidRPr="003E142B">
              <w:t xml:space="preserve"> </w:t>
            </w:r>
            <w:r w:rsidR="002B5872">
              <w:t>are</w:t>
            </w:r>
            <w:r w:rsidR="002B5872" w:rsidRPr="003E142B">
              <w:t xml:space="preserve"> appropriate for the particular asset class and fund type</w:t>
            </w:r>
            <w:r w:rsidR="002B5872">
              <w:t>.</w:t>
            </w:r>
          </w:p>
        </w:tc>
        <w:tc>
          <w:tcPr>
            <w:tcW w:w="5268" w:type="dxa"/>
            <w:vAlign w:val="center"/>
          </w:tcPr>
          <w:p w14:paraId="28F74140" w14:textId="624C4CB1" w:rsidR="003E142B" w:rsidRDefault="002B5872" w:rsidP="00BF0028">
            <w:pPr>
              <w:pStyle w:val="ListBullet3"/>
              <w:numPr>
                <w:ilvl w:val="0"/>
                <w:numId w:val="0"/>
              </w:numPr>
            </w:pPr>
            <w:r>
              <w:t xml:space="preserve">This </w:t>
            </w:r>
            <w:r w:rsidR="003E142B" w:rsidRPr="003E142B">
              <w:t>is considered as part of the manager selection process. It is also monitored regularly with the help of the Investment Consultant to ensure it is in line with the Trustees’ policies</w:t>
            </w:r>
            <w:r>
              <w:t>.</w:t>
            </w:r>
            <w:r w:rsidR="00070E7D">
              <w:t xml:space="preserve"> </w:t>
            </w:r>
            <w:r w:rsidR="00070E7D" w:rsidRPr="00070E7D">
              <w:t>The Trustees were satisfied that they followed the policy to a sufficient extent under the existing investment arrangements.</w:t>
            </w:r>
          </w:p>
        </w:tc>
      </w:tr>
    </w:tbl>
    <w:p w14:paraId="5AC2CABB" w14:textId="1289CF06" w:rsidR="009D6617" w:rsidRDefault="00011D12" w:rsidP="009D6617">
      <w:pPr>
        <w:pStyle w:val="ListBullet3"/>
        <w:numPr>
          <w:ilvl w:val="0"/>
          <w:numId w:val="0"/>
        </w:numPr>
      </w:pPr>
      <w:bookmarkStart w:id="1" w:name="_Hlk43481244"/>
      <w:r>
        <w:t xml:space="preserve">The </w:t>
      </w:r>
      <w:r w:rsidR="009D6617">
        <w:t>Trustee</w:t>
      </w:r>
      <w:r w:rsidR="00070E7D">
        <w:t>s</w:t>
      </w:r>
      <w:r w:rsidR="009D6617">
        <w:t xml:space="preserve"> </w:t>
      </w:r>
      <w:r w:rsidR="00070E7D">
        <w:t>are</w:t>
      </w:r>
      <w:r w:rsidR="009D6617">
        <w:t xml:space="preserve"> satisfied </w:t>
      </w:r>
      <w:r>
        <w:t xml:space="preserve">that </w:t>
      </w:r>
      <w:r w:rsidR="00B13E43">
        <w:t xml:space="preserve">the policies set out in the Statement of Investment Principles were </w:t>
      </w:r>
      <w:r>
        <w:t>followed in the reporting year</w:t>
      </w:r>
      <w:r w:rsidR="00B13E43">
        <w:t>.</w:t>
      </w:r>
    </w:p>
    <w:p w14:paraId="6C765B73" w14:textId="23D2D955" w:rsidR="0075073B" w:rsidRDefault="0075073B" w:rsidP="0075073B">
      <w:pPr>
        <w:pStyle w:val="Heading2NotNumbered"/>
      </w:pPr>
      <w:bookmarkStart w:id="2" w:name="_Hlk47366360"/>
      <w:r>
        <w:t>Voting activity</w:t>
      </w:r>
    </w:p>
    <w:p w14:paraId="01A13904" w14:textId="33E947FE" w:rsidR="00153CA2" w:rsidRDefault="00153CA2" w:rsidP="00817442">
      <w:pPr>
        <w:pStyle w:val="ListBullet3"/>
        <w:numPr>
          <w:ilvl w:val="0"/>
          <w:numId w:val="0"/>
        </w:numPr>
      </w:pPr>
      <w:r>
        <w:t xml:space="preserve">The </w:t>
      </w:r>
      <w:r w:rsidR="00E00B2D">
        <w:t>only Scheme investments</w:t>
      </w:r>
      <w:r w:rsidR="005E1FBF">
        <w:t xml:space="preserve"> in the default arrangement</w:t>
      </w:r>
      <w:r w:rsidR="00E00B2D">
        <w:t xml:space="preserve"> </w:t>
      </w:r>
      <w:r>
        <w:t xml:space="preserve">where </w:t>
      </w:r>
      <w:r w:rsidR="004D5CAE">
        <w:t>m</w:t>
      </w:r>
      <w:r>
        <w:t xml:space="preserve">anagers </w:t>
      </w:r>
      <w:r w:rsidR="000F0E78">
        <w:t>ha</w:t>
      </w:r>
      <w:r w:rsidR="005E1FBF">
        <w:t>d</w:t>
      </w:r>
      <w:r w:rsidR="000F0E78">
        <w:t xml:space="preserve"> voting rights during the reporting year </w:t>
      </w:r>
      <w:r w:rsidR="00DD7ECB">
        <w:t xml:space="preserve">were </w:t>
      </w:r>
      <w:r w:rsidR="000F0E78">
        <w:t>the diversified growth funds</w:t>
      </w:r>
      <w:r w:rsidR="0029759F">
        <w:t xml:space="preserve"> that hold equity </w:t>
      </w:r>
      <w:r w:rsidR="00F24AEB">
        <w:t>shareholdings</w:t>
      </w:r>
      <w:r>
        <w:t>.</w:t>
      </w:r>
      <w:bookmarkEnd w:id="2"/>
      <w:r w:rsidR="00E61791">
        <w:t xml:space="preserve"> </w:t>
      </w:r>
      <w:r w:rsidR="00E00B2D">
        <w:t>A</w:t>
      </w:r>
      <w:r>
        <w:t xml:space="preserve"> summary of the voting behaviour and most significant votes cast by each </w:t>
      </w:r>
      <w:r w:rsidR="004D5CAE">
        <w:t>i</w:t>
      </w:r>
      <w:r>
        <w:t xml:space="preserve">nvestment </w:t>
      </w:r>
      <w:r w:rsidR="004D5CAE">
        <w:t>m</w:t>
      </w:r>
      <w:r>
        <w:t>anager</w:t>
      </w:r>
      <w:r w:rsidR="004D5CAE">
        <w:t xml:space="preserve"> </w:t>
      </w:r>
      <w:r>
        <w:t xml:space="preserve">is </w:t>
      </w:r>
      <w:r w:rsidR="00E00B2D">
        <w:t>set out below.</w:t>
      </w:r>
    </w:p>
    <w:bookmarkEnd w:id="1"/>
    <w:p w14:paraId="708B69FE" w14:textId="46890553" w:rsidR="00A43C2E" w:rsidRPr="00A43C2E" w:rsidRDefault="00A43C2E" w:rsidP="00A43C2E">
      <w:pPr>
        <w:spacing w:after="160" w:line="259" w:lineRule="auto"/>
        <w:rPr>
          <w:rFonts w:ascii="Calibri" w:eastAsia="Calibri" w:hAnsi="Calibri"/>
          <w:b/>
          <w:bCs/>
          <w:sz w:val="22"/>
          <w:szCs w:val="22"/>
        </w:rPr>
      </w:pPr>
      <w:r w:rsidRPr="00A43C2E">
        <w:rPr>
          <w:rFonts w:ascii="Calibri" w:eastAsia="Calibri" w:hAnsi="Calibri"/>
          <w:b/>
          <w:bCs/>
          <w:sz w:val="22"/>
          <w:szCs w:val="22"/>
        </w:rPr>
        <w:t xml:space="preserve">Please note that the information on the managers’ voting activity has been provided by </w:t>
      </w:r>
      <w:r w:rsidR="00BA6395">
        <w:rPr>
          <w:rFonts w:ascii="Calibri" w:eastAsia="Calibri" w:hAnsi="Calibri"/>
          <w:b/>
          <w:bCs/>
          <w:sz w:val="22"/>
          <w:szCs w:val="22"/>
        </w:rPr>
        <w:t>Prudential / BlackRock</w:t>
      </w:r>
      <w:r w:rsidRPr="00A43C2E">
        <w:rPr>
          <w:rFonts w:ascii="Calibri" w:eastAsia="Calibri" w:hAnsi="Calibri"/>
          <w:b/>
          <w:bCs/>
          <w:sz w:val="22"/>
          <w:szCs w:val="22"/>
        </w:rPr>
        <w:t>, and this is reflected in the use of “we” throughout. Any opinions contained within do not necessarily reflect the views of the Trustees. The data</w:t>
      </w:r>
      <w:r w:rsidR="0065654A">
        <w:rPr>
          <w:rFonts w:ascii="Calibri" w:eastAsia="Calibri" w:hAnsi="Calibri"/>
          <w:b/>
          <w:bCs/>
          <w:sz w:val="22"/>
          <w:szCs w:val="22"/>
        </w:rPr>
        <w:t xml:space="preserve"> and significant votes detailed</w:t>
      </w:r>
      <w:r w:rsidRPr="00A43C2E">
        <w:rPr>
          <w:rFonts w:ascii="Calibri" w:eastAsia="Calibri" w:hAnsi="Calibri"/>
          <w:b/>
          <w:bCs/>
          <w:sz w:val="22"/>
          <w:szCs w:val="22"/>
        </w:rPr>
        <w:t xml:space="preserve"> has been provided for the year to 3</w:t>
      </w:r>
      <w:r w:rsidR="00AA711E">
        <w:rPr>
          <w:rFonts w:ascii="Calibri" w:eastAsia="Calibri" w:hAnsi="Calibri"/>
          <w:b/>
          <w:bCs/>
          <w:sz w:val="22"/>
          <w:szCs w:val="22"/>
        </w:rPr>
        <w:t>1 March 202</w:t>
      </w:r>
      <w:r w:rsidR="002C4C5A">
        <w:rPr>
          <w:rFonts w:ascii="Calibri" w:eastAsia="Calibri" w:hAnsi="Calibri"/>
          <w:b/>
          <w:bCs/>
          <w:sz w:val="22"/>
          <w:szCs w:val="22"/>
        </w:rPr>
        <w:t>3</w:t>
      </w:r>
      <w:r w:rsidR="003B4856">
        <w:rPr>
          <w:rFonts w:ascii="Calibri" w:eastAsia="Calibri" w:hAnsi="Calibri"/>
          <w:b/>
          <w:bCs/>
          <w:sz w:val="22"/>
          <w:szCs w:val="22"/>
        </w:rPr>
        <w:t>.</w:t>
      </w:r>
    </w:p>
    <w:p w14:paraId="6E7B21ED" w14:textId="77777777" w:rsidR="00A43C2E" w:rsidRPr="00A43C2E" w:rsidRDefault="00A43C2E" w:rsidP="00A43C2E">
      <w:pPr>
        <w:spacing w:after="160" w:line="259" w:lineRule="auto"/>
        <w:ind w:left="360"/>
        <w:contextualSpacing/>
        <w:rPr>
          <w:rFonts w:ascii="Calibri" w:eastAsia="Calibri" w:hAnsi="Calibri"/>
          <w:sz w:val="22"/>
          <w:szCs w:val="22"/>
        </w:rPr>
      </w:pPr>
    </w:p>
    <w:tbl>
      <w:tblPr>
        <w:tblW w:w="5000" w:type="pct"/>
        <w:tblLayout w:type="fixed"/>
        <w:tblLook w:val="04A0" w:firstRow="1" w:lastRow="0" w:firstColumn="1" w:lastColumn="0" w:noHBand="0" w:noVBand="1"/>
      </w:tblPr>
      <w:tblGrid>
        <w:gridCol w:w="1243"/>
        <w:gridCol w:w="4912"/>
        <w:gridCol w:w="2461"/>
        <w:gridCol w:w="1658"/>
        <w:gridCol w:w="272"/>
      </w:tblGrid>
      <w:tr w:rsidR="00A43C2E" w:rsidRPr="00A43C2E" w14:paraId="72A6B951" w14:textId="77777777" w:rsidTr="00A43C2E">
        <w:trPr>
          <w:trHeight w:val="336"/>
        </w:trPr>
        <w:tc>
          <w:tcPr>
            <w:tcW w:w="4871" w:type="pct"/>
            <w:gridSpan w:val="4"/>
            <w:vMerge w:val="restart"/>
            <w:tcBorders>
              <w:top w:val="nil"/>
              <w:left w:val="nil"/>
              <w:bottom w:val="nil"/>
              <w:right w:val="nil"/>
            </w:tcBorders>
            <w:shd w:val="clear" w:color="000000" w:fill="F04D98"/>
            <w:vAlign w:val="center"/>
            <w:hideMark/>
          </w:tcPr>
          <w:p w14:paraId="33006A34" w14:textId="77777777" w:rsidR="00A43C2E" w:rsidRPr="002632BC" w:rsidRDefault="00A43C2E" w:rsidP="00A43C2E">
            <w:pPr>
              <w:spacing w:after="0" w:line="240" w:lineRule="auto"/>
              <w:jc w:val="center"/>
              <w:rPr>
                <w:rFonts w:cs="Segoe UI Semilight"/>
                <w:color w:val="000000"/>
                <w:lang w:eastAsia="en-GB"/>
              </w:rPr>
            </w:pPr>
            <w:r w:rsidRPr="002632BC">
              <w:rPr>
                <w:rFonts w:cs="Segoe UI Semilight"/>
                <w:b/>
                <w:bCs/>
                <w:color w:val="FFFFFF"/>
                <w:lang w:eastAsia="en-GB"/>
              </w:rPr>
              <w:t>Voting Information</w:t>
            </w:r>
          </w:p>
        </w:tc>
        <w:tc>
          <w:tcPr>
            <w:tcW w:w="129" w:type="pct"/>
            <w:vAlign w:val="center"/>
            <w:hideMark/>
          </w:tcPr>
          <w:p w14:paraId="31F72DD9" w14:textId="77777777" w:rsidR="00A43C2E" w:rsidRPr="00A43C2E" w:rsidRDefault="00A43C2E" w:rsidP="00A43C2E">
            <w:pPr>
              <w:spacing w:after="0" w:line="240" w:lineRule="auto"/>
              <w:rPr>
                <w:rFonts w:ascii="Times New Roman" w:hAnsi="Times New Roman"/>
                <w:lang w:eastAsia="en-GB"/>
              </w:rPr>
            </w:pPr>
          </w:p>
        </w:tc>
      </w:tr>
      <w:tr w:rsidR="00A43C2E" w:rsidRPr="00A43C2E" w14:paraId="0E40166D" w14:textId="77777777" w:rsidTr="00A43C2E">
        <w:trPr>
          <w:trHeight w:val="12"/>
        </w:trPr>
        <w:tc>
          <w:tcPr>
            <w:tcW w:w="4871" w:type="pct"/>
            <w:gridSpan w:val="4"/>
            <w:vMerge/>
            <w:tcBorders>
              <w:top w:val="nil"/>
              <w:left w:val="nil"/>
              <w:bottom w:val="nil"/>
              <w:right w:val="nil"/>
            </w:tcBorders>
            <w:vAlign w:val="center"/>
            <w:hideMark/>
          </w:tcPr>
          <w:p w14:paraId="01205051"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4FB5D884" w14:textId="77777777" w:rsidR="00A43C2E" w:rsidRPr="00A43C2E" w:rsidRDefault="00A43C2E" w:rsidP="00A43C2E">
            <w:pPr>
              <w:spacing w:after="0" w:line="240" w:lineRule="auto"/>
              <w:jc w:val="center"/>
              <w:rPr>
                <w:rFonts w:cs="Segoe UI Semilight"/>
                <w:color w:val="000000"/>
                <w:sz w:val="22"/>
                <w:szCs w:val="22"/>
                <w:lang w:eastAsia="en-GB"/>
              </w:rPr>
            </w:pPr>
          </w:p>
        </w:tc>
      </w:tr>
      <w:tr w:rsidR="00A43C2E" w:rsidRPr="00A43C2E" w14:paraId="70C5DE9A" w14:textId="77777777" w:rsidTr="00A43C2E">
        <w:trPr>
          <w:trHeight w:val="336"/>
        </w:trPr>
        <w:tc>
          <w:tcPr>
            <w:tcW w:w="4871" w:type="pct"/>
            <w:gridSpan w:val="4"/>
            <w:vMerge w:val="restart"/>
            <w:tcBorders>
              <w:top w:val="single" w:sz="4" w:space="0" w:color="auto"/>
              <w:left w:val="single" w:sz="4" w:space="0" w:color="auto"/>
              <w:bottom w:val="single" w:sz="4" w:space="0" w:color="auto"/>
              <w:right w:val="single" w:sz="4" w:space="0" w:color="000000"/>
            </w:tcBorders>
            <w:shd w:val="clear" w:color="auto" w:fill="auto"/>
            <w:vAlign w:val="bottom"/>
            <w:hideMark/>
          </w:tcPr>
          <w:p w14:paraId="4BA903B4" w14:textId="77777777" w:rsidR="00A43C2E" w:rsidRPr="002632BC" w:rsidRDefault="00A43C2E" w:rsidP="00A43C2E">
            <w:pPr>
              <w:spacing w:after="0" w:line="240" w:lineRule="auto"/>
              <w:jc w:val="center"/>
              <w:rPr>
                <w:rFonts w:cs="Segoe UI Semilight"/>
                <w:b/>
                <w:bCs/>
                <w:color w:val="000000"/>
                <w:lang w:eastAsia="en-GB"/>
              </w:rPr>
            </w:pPr>
            <w:r w:rsidRPr="002632BC">
              <w:rPr>
                <w:rFonts w:cs="Segoe UI Semilight"/>
                <w:b/>
                <w:bCs/>
                <w:color w:val="000000"/>
                <w:lang w:eastAsia="en-GB"/>
              </w:rPr>
              <w:t>Prudential Dynamic Growth IV Fund</w:t>
            </w:r>
          </w:p>
          <w:p w14:paraId="2DFFDB65" w14:textId="77777777" w:rsidR="00A43C2E" w:rsidRPr="002632BC" w:rsidRDefault="00A43C2E" w:rsidP="00A43C2E">
            <w:pPr>
              <w:spacing w:after="0" w:line="240" w:lineRule="auto"/>
              <w:jc w:val="center"/>
              <w:rPr>
                <w:rFonts w:cs="Segoe UI Semilight"/>
                <w:b/>
                <w:bCs/>
                <w:color w:val="000000"/>
                <w:lang w:eastAsia="en-GB"/>
              </w:rPr>
            </w:pPr>
            <w:r w:rsidRPr="002632BC">
              <w:rPr>
                <w:rFonts w:cs="Segoe UI Semilight"/>
                <w:b/>
                <w:bCs/>
                <w:color w:val="000000"/>
                <w:lang w:eastAsia="en-GB"/>
              </w:rPr>
              <w:t>Prudential Dynamic Growth II Fund</w:t>
            </w:r>
          </w:p>
          <w:p w14:paraId="4B9084B6" w14:textId="073209BE" w:rsidR="00BF4D56" w:rsidRPr="002632BC" w:rsidRDefault="0065654A" w:rsidP="00453699">
            <w:pPr>
              <w:spacing w:after="0" w:line="240" w:lineRule="auto"/>
              <w:jc w:val="center"/>
              <w:rPr>
                <w:rFonts w:cs="Segoe UI Semilight"/>
                <w:color w:val="000000"/>
                <w:lang w:eastAsia="en-GB"/>
              </w:rPr>
            </w:pPr>
            <w:r w:rsidRPr="002632BC">
              <w:t>T</w:t>
            </w:r>
            <w:r w:rsidR="00A43C2E" w:rsidRPr="002632BC">
              <w:t>he same voting information</w:t>
            </w:r>
            <w:r w:rsidRPr="002632BC">
              <w:t xml:space="preserve"> applies</w:t>
            </w:r>
            <w:r w:rsidR="00A43C2E" w:rsidRPr="002632BC">
              <w:t xml:space="preserve"> for both funds</w:t>
            </w:r>
            <w:r w:rsidR="00BF4D56" w:rsidRPr="002632BC">
              <w:t xml:space="preserve"> as the</w:t>
            </w:r>
            <w:r w:rsidRPr="002632BC">
              <w:t xml:space="preserve"> underlying</w:t>
            </w:r>
            <w:r w:rsidR="00BF4D56" w:rsidRPr="002632BC">
              <w:t xml:space="preserve"> building blocks for the funds are the same.</w:t>
            </w:r>
          </w:p>
        </w:tc>
        <w:tc>
          <w:tcPr>
            <w:tcW w:w="129" w:type="pct"/>
            <w:vAlign w:val="center"/>
            <w:hideMark/>
          </w:tcPr>
          <w:p w14:paraId="02401DDA" w14:textId="77777777" w:rsidR="00A43C2E" w:rsidRPr="00A43C2E" w:rsidRDefault="00A43C2E" w:rsidP="00A43C2E">
            <w:pPr>
              <w:spacing w:after="0" w:line="240" w:lineRule="auto"/>
              <w:rPr>
                <w:rFonts w:ascii="Times New Roman" w:hAnsi="Times New Roman"/>
                <w:lang w:eastAsia="en-GB"/>
              </w:rPr>
            </w:pPr>
          </w:p>
        </w:tc>
      </w:tr>
      <w:tr w:rsidR="00A43C2E" w:rsidRPr="00A43C2E" w14:paraId="1E2DB1CD" w14:textId="77777777" w:rsidTr="00A43C2E">
        <w:trPr>
          <w:trHeight w:val="48"/>
        </w:trPr>
        <w:tc>
          <w:tcPr>
            <w:tcW w:w="4871" w:type="pct"/>
            <w:gridSpan w:val="4"/>
            <w:vMerge/>
            <w:tcBorders>
              <w:top w:val="single" w:sz="4" w:space="0" w:color="auto"/>
              <w:left w:val="single" w:sz="4" w:space="0" w:color="auto"/>
              <w:bottom w:val="single" w:sz="4" w:space="0" w:color="000000"/>
              <w:right w:val="single" w:sz="4" w:space="0" w:color="000000"/>
            </w:tcBorders>
            <w:vAlign w:val="center"/>
            <w:hideMark/>
          </w:tcPr>
          <w:p w14:paraId="71F9B2CE"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134D7928" w14:textId="77777777" w:rsidR="00A43C2E" w:rsidRPr="00A43C2E" w:rsidRDefault="00A43C2E" w:rsidP="00A43C2E">
            <w:pPr>
              <w:spacing w:after="0" w:line="240" w:lineRule="auto"/>
              <w:jc w:val="center"/>
              <w:rPr>
                <w:rFonts w:cs="Segoe UI Semilight"/>
                <w:color w:val="000000"/>
                <w:sz w:val="22"/>
                <w:szCs w:val="22"/>
                <w:lang w:eastAsia="en-GB"/>
              </w:rPr>
            </w:pPr>
          </w:p>
        </w:tc>
      </w:tr>
      <w:tr w:rsidR="00A43C2E" w:rsidRPr="00A43C2E" w14:paraId="311E2BD7" w14:textId="77777777" w:rsidTr="00A43C2E">
        <w:trPr>
          <w:trHeight w:val="336"/>
        </w:trPr>
        <w:tc>
          <w:tcPr>
            <w:tcW w:w="4871" w:type="pct"/>
            <w:gridSpan w:val="4"/>
            <w:vMerge w:val="restart"/>
            <w:tcBorders>
              <w:top w:val="single" w:sz="4" w:space="0" w:color="auto"/>
              <w:left w:val="nil"/>
              <w:bottom w:val="nil"/>
              <w:right w:val="nil"/>
            </w:tcBorders>
            <w:shd w:val="clear" w:color="000000" w:fill="F04D98"/>
            <w:vAlign w:val="center"/>
            <w:hideMark/>
          </w:tcPr>
          <w:p w14:paraId="5A0AB6C6" w14:textId="77777777" w:rsidR="00A43C2E" w:rsidRPr="002632BC" w:rsidRDefault="00A43C2E" w:rsidP="00A43C2E">
            <w:pPr>
              <w:spacing w:after="0" w:line="240" w:lineRule="auto"/>
              <w:jc w:val="center"/>
              <w:rPr>
                <w:rFonts w:cs="Segoe UI Semilight"/>
                <w:b/>
                <w:bCs/>
                <w:color w:val="FFFFFF"/>
                <w:lang w:eastAsia="en-GB"/>
              </w:rPr>
            </w:pPr>
            <w:r w:rsidRPr="002632BC">
              <w:rPr>
                <w:rFonts w:cs="Segoe UI Semilight"/>
                <w:b/>
                <w:bCs/>
                <w:color w:val="FFFFFF"/>
                <w:lang w:eastAsia="en-GB"/>
              </w:rPr>
              <w:t>Investment Manager Client Consultation Policy on Voting</w:t>
            </w:r>
          </w:p>
        </w:tc>
        <w:tc>
          <w:tcPr>
            <w:tcW w:w="129" w:type="pct"/>
            <w:vAlign w:val="center"/>
            <w:hideMark/>
          </w:tcPr>
          <w:p w14:paraId="6812B7B3" w14:textId="77777777" w:rsidR="00A43C2E" w:rsidRPr="00A43C2E" w:rsidRDefault="00A43C2E" w:rsidP="00A43C2E">
            <w:pPr>
              <w:spacing w:after="0" w:line="240" w:lineRule="auto"/>
              <w:rPr>
                <w:rFonts w:ascii="Times New Roman" w:hAnsi="Times New Roman"/>
                <w:lang w:eastAsia="en-GB"/>
              </w:rPr>
            </w:pPr>
          </w:p>
        </w:tc>
      </w:tr>
      <w:tr w:rsidR="00A43C2E" w:rsidRPr="00A43C2E" w14:paraId="4DB00DD5" w14:textId="77777777" w:rsidTr="00A43C2E">
        <w:trPr>
          <w:trHeight w:val="192"/>
        </w:trPr>
        <w:tc>
          <w:tcPr>
            <w:tcW w:w="4871" w:type="pct"/>
            <w:gridSpan w:val="4"/>
            <w:vMerge/>
            <w:tcBorders>
              <w:top w:val="single" w:sz="4" w:space="0" w:color="auto"/>
              <w:left w:val="nil"/>
              <w:bottom w:val="nil"/>
              <w:right w:val="nil"/>
            </w:tcBorders>
            <w:vAlign w:val="center"/>
            <w:hideMark/>
          </w:tcPr>
          <w:p w14:paraId="6D849A77" w14:textId="77777777" w:rsidR="00A43C2E" w:rsidRPr="002632BC" w:rsidRDefault="00A43C2E" w:rsidP="00A43C2E">
            <w:pPr>
              <w:spacing w:after="0" w:line="240" w:lineRule="auto"/>
              <w:rPr>
                <w:rFonts w:cs="Segoe UI Semilight"/>
                <w:b/>
                <w:bCs/>
                <w:color w:val="FFFFFF"/>
                <w:lang w:eastAsia="en-GB"/>
              </w:rPr>
            </w:pPr>
          </w:p>
        </w:tc>
        <w:tc>
          <w:tcPr>
            <w:tcW w:w="129" w:type="pct"/>
            <w:tcBorders>
              <w:top w:val="nil"/>
              <w:left w:val="nil"/>
              <w:bottom w:val="nil"/>
              <w:right w:val="nil"/>
            </w:tcBorders>
            <w:shd w:val="clear" w:color="auto" w:fill="auto"/>
            <w:noWrap/>
            <w:vAlign w:val="bottom"/>
            <w:hideMark/>
          </w:tcPr>
          <w:p w14:paraId="1326AC63" w14:textId="77777777" w:rsidR="00A43C2E" w:rsidRPr="00A43C2E" w:rsidRDefault="00A43C2E" w:rsidP="00A43C2E">
            <w:pPr>
              <w:spacing w:after="0" w:line="240" w:lineRule="auto"/>
              <w:jc w:val="center"/>
              <w:rPr>
                <w:rFonts w:cs="Segoe UI Semilight"/>
                <w:b/>
                <w:bCs/>
                <w:color w:val="FFFFFF"/>
                <w:sz w:val="22"/>
                <w:szCs w:val="22"/>
                <w:lang w:eastAsia="en-GB"/>
              </w:rPr>
            </w:pPr>
          </w:p>
        </w:tc>
      </w:tr>
      <w:tr w:rsidR="00A43C2E" w:rsidRPr="00A43C2E" w14:paraId="1863B598" w14:textId="77777777" w:rsidTr="00AC61FD">
        <w:trPr>
          <w:trHeight w:val="336"/>
        </w:trPr>
        <w:tc>
          <w:tcPr>
            <w:tcW w:w="4871" w:type="pct"/>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760F833C" w14:textId="1094371F" w:rsidR="00A43C2E" w:rsidRPr="002632BC" w:rsidRDefault="00A43C2E" w:rsidP="00616789">
            <w:pPr>
              <w:spacing w:after="0" w:line="240" w:lineRule="auto"/>
              <w:jc w:val="center"/>
              <w:rPr>
                <w:rFonts w:cs="Segoe UI Semilight"/>
                <w:color w:val="000000"/>
                <w:lang w:eastAsia="en-GB"/>
              </w:rPr>
            </w:pPr>
            <w:r w:rsidRPr="002632BC">
              <w:t>As the Prudential fund</w:t>
            </w:r>
            <w:r w:rsidR="00616789" w:rsidRPr="002632BC">
              <w:t xml:space="preserve">s </w:t>
            </w:r>
            <w:r w:rsidRPr="002632BC">
              <w:t>invest in BlackRock pooled funds, voting is carried out by BlackRock.</w:t>
            </w:r>
          </w:p>
        </w:tc>
        <w:tc>
          <w:tcPr>
            <w:tcW w:w="129" w:type="pct"/>
            <w:vAlign w:val="center"/>
            <w:hideMark/>
          </w:tcPr>
          <w:p w14:paraId="4C2A935A" w14:textId="77777777" w:rsidR="00A43C2E" w:rsidRPr="00A43C2E" w:rsidRDefault="00A43C2E" w:rsidP="00A43C2E">
            <w:pPr>
              <w:spacing w:after="0" w:line="240" w:lineRule="auto"/>
              <w:rPr>
                <w:rFonts w:ascii="Times New Roman" w:hAnsi="Times New Roman"/>
                <w:lang w:eastAsia="en-GB"/>
              </w:rPr>
            </w:pPr>
          </w:p>
        </w:tc>
      </w:tr>
      <w:tr w:rsidR="00A43C2E" w:rsidRPr="00A43C2E" w14:paraId="0284C1C9" w14:textId="77777777" w:rsidTr="00A43C2E">
        <w:trPr>
          <w:trHeight w:val="108"/>
        </w:trPr>
        <w:tc>
          <w:tcPr>
            <w:tcW w:w="4871" w:type="pct"/>
            <w:gridSpan w:val="4"/>
            <w:vMerge/>
            <w:tcBorders>
              <w:top w:val="single" w:sz="4" w:space="0" w:color="auto"/>
              <w:left w:val="single" w:sz="4" w:space="0" w:color="auto"/>
              <w:bottom w:val="nil"/>
              <w:right w:val="single" w:sz="4" w:space="0" w:color="000000"/>
            </w:tcBorders>
            <w:vAlign w:val="center"/>
            <w:hideMark/>
          </w:tcPr>
          <w:p w14:paraId="443A5026"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0C21AA09" w14:textId="77777777" w:rsidR="00A43C2E" w:rsidRPr="00A43C2E" w:rsidRDefault="00A43C2E" w:rsidP="00A43C2E">
            <w:pPr>
              <w:spacing w:after="0" w:line="240" w:lineRule="auto"/>
              <w:jc w:val="center"/>
              <w:rPr>
                <w:rFonts w:cs="Segoe UI Semilight"/>
                <w:color w:val="000000"/>
                <w:sz w:val="22"/>
                <w:szCs w:val="22"/>
                <w:lang w:eastAsia="en-GB"/>
              </w:rPr>
            </w:pPr>
          </w:p>
        </w:tc>
      </w:tr>
      <w:tr w:rsidR="00A43C2E" w:rsidRPr="00A43C2E" w14:paraId="45256141" w14:textId="77777777" w:rsidTr="00A43C2E">
        <w:trPr>
          <w:trHeight w:val="336"/>
        </w:trPr>
        <w:tc>
          <w:tcPr>
            <w:tcW w:w="4871" w:type="pct"/>
            <w:gridSpan w:val="4"/>
            <w:vMerge w:val="restart"/>
            <w:tcBorders>
              <w:top w:val="single" w:sz="4" w:space="0" w:color="auto"/>
              <w:left w:val="nil"/>
              <w:bottom w:val="nil"/>
              <w:right w:val="nil"/>
            </w:tcBorders>
            <w:shd w:val="clear" w:color="000000" w:fill="F04D98"/>
            <w:vAlign w:val="center"/>
            <w:hideMark/>
          </w:tcPr>
          <w:p w14:paraId="3A0AFD6F" w14:textId="77777777" w:rsidR="00A43C2E" w:rsidRPr="002632BC" w:rsidRDefault="00A43C2E" w:rsidP="00A43C2E">
            <w:pPr>
              <w:spacing w:after="0" w:line="240" w:lineRule="auto"/>
              <w:jc w:val="center"/>
              <w:rPr>
                <w:rFonts w:cs="Segoe UI Semilight"/>
                <w:b/>
                <w:bCs/>
                <w:color w:val="FFFFFF"/>
                <w:lang w:eastAsia="en-GB"/>
              </w:rPr>
            </w:pPr>
            <w:r w:rsidRPr="002632BC">
              <w:rPr>
                <w:rFonts w:cs="Segoe UI Semilight"/>
                <w:b/>
                <w:bCs/>
                <w:color w:val="FFFFFF"/>
                <w:lang w:eastAsia="en-GB"/>
              </w:rPr>
              <w:t>Investment Manager Process to determine how to Vote</w:t>
            </w:r>
          </w:p>
        </w:tc>
        <w:tc>
          <w:tcPr>
            <w:tcW w:w="129" w:type="pct"/>
            <w:vAlign w:val="center"/>
            <w:hideMark/>
          </w:tcPr>
          <w:p w14:paraId="52A954C1" w14:textId="77777777" w:rsidR="00A43C2E" w:rsidRPr="00A43C2E" w:rsidRDefault="00A43C2E" w:rsidP="00A43C2E">
            <w:pPr>
              <w:spacing w:after="0" w:line="240" w:lineRule="auto"/>
              <w:rPr>
                <w:rFonts w:ascii="Times New Roman" w:hAnsi="Times New Roman"/>
                <w:lang w:eastAsia="en-GB"/>
              </w:rPr>
            </w:pPr>
          </w:p>
        </w:tc>
      </w:tr>
      <w:tr w:rsidR="00A43C2E" w:rsidRPr="00A43C2E" w14:paraId="377FBC6D" w14:textId="77777777" w:rsidTr="00A43C2E">
        <w:trPr>
          <w:trHeight w:val="180"/>
        </w:trPr>
        <w:tc>
          <w:tcPr>
            <w:tcW w:w="4871" w:type="pct"/>
            <w:gridSpan w:val="4"/>
            <w:vMerge/>
            <w:tcBorders>
              <w:top w:val="single" w:sz="4" w:space="0" w:color="auto"/>
              <w:left w:val="nil"/>
              <w:bottom w:val="nil"/>
              <w:right w:val="nil"/>
            </w:tcBorders>
            <w:vAlign w:val="center"/>
            <w:hideMark/>
          </w:tcPr>
          <w:p w14:paraId="4610DF18" w14:textId="77777777" w:rsidR="00A43C2E" w:rsidRPr="002632BC" w:rsidRDefault="00A43C2E" w:rsidP="00A43C2E">
            <w:pPr>
              <w:spacing w:after="0" w:line="240" w:lineRule="auto"/>
              <w:rPr>
                <w:rFonts w:cs="Segoe UI Semilight"/>
                <w:b/>
                <w:bCs/>
                <w:color w:val="FFFFFF"/>
                <w:lang w:eastAsia="en-GB"/>
              </w:rPr>
            </w:pPr>
          </w:p>
        </w:tc>
        <w:tc>
          <w:tcPr>
            <w:tcW w:w="129" w:type="pct"/>
            <w:tcBorders>
              <w:top w:val="nil"/>
              <w:left w:val="nil"/>
              <w:bottom w:val="nil"/>
              <w:right w:val="nil"/>
            </w:tcBorders>
            <w:shd w:val="clear" w:color="auto" w:fill="auto"/>
            <w:noWrap/>
            <w:vAlign w:val="bottom"/>
            <w:hideMark/>
          </w:tcPr>
          <w:p w14:paraId="104B6574" w14:textId="77777777" w:rsidR="00A43C2E" w:rsidRPr="00A43C2E" w:rsidRDefault="00A43C2E" w:rsidP="00A43C2E">
            <w:pPr>
              <w:spacing w:after="0" w:line="240" w:lineRule="auto"/>
              <w:jc w:val="center"/>
              <w:rPr>
                <w:rFonts w:cs="Segoe UI Semilight"/>
                <w:b/>
                <w:bCs/>
                <w:color w:val="FFFFFF"/>
                <w:sz w:val="22"/>
                <w:szCs w:val="22"/>
                <w:lang w:eastAsia="en-GB"/>
              </w:rPr>
            </w:pPr>
          </w:p>
        </w:tc>
      </w:tr>
      <w:tr w:rsidR="00A43C2E" w:rsidRPr="00A43C2E" w14:paraId="1A86F11D" w14:textId="77777777" w:rsidTr="00AC61FD">
        <w:trPr>
          <w:trHeight w:val="1020"/>
        </w:trPr>
        <w:tc>
          <w:tcPr>
            <w:tcW w:w="4871"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DB3A9A8" w14:textId="6F0FC029" w:rsidR="008A0152" w:rsidRPr="002632BC" w:rsidRDefault="008A0152" w:rsidP="00616789">
            <w:pPr>
              <w:spacing w:after="0" w:line="240" w:lineRule="auto"/>
              <w:jc w:val="center"/>
            </w:pPr>
            <w:r w:rsidRPr="002632BC">
              <w:t>The following is an overview of the BlackRock voting process for deciding how to vote:</w:t>
            </w:r>
          </w:p>
          <w:p w14:paraId="3A6C7EA9" w14:textId="2A2B77D7" w:rsidR="00A43C2E" w:rsidRPr="002632BC" w:rsidRDefault="00616789" w:rsidP="00616789">
            <w:pPr>
              <w:spacing w:after="0" w:line="240" w:lineRule="auto"/>
              <w:jc w:val="center"/>
              <w:rPr>
                <w:rFonts w:cs="Segoe UI Semilight"/>
                <w:color w:val="000000"/>
                <w:lang w:eastAsia="en-GB"/>
              </w:rPr>
            </w:pPr>
            <w:r w:rsidRPr="002632BC">
              <w:t xml:space="preserve">The team and its voting and engagement work continuously evolves in response to changing governance related developments and expectations. Our voting guidelines are market-specific to ensure we </w:t>
            </w:r>
            <w:proofErr w:type="gramStart"/>
            <w:r w:rsidRPr="002632BC">
              <w:t>take into account</w:t>
            </w:r>
            <w:proofErr w:type="gramEnd"/>
            <w:r w:rsidRPr="002632BC">
              <w:t xml:space="preserve"> a company's unique circumstances by market, where relevant. We inform our vote decisions through research and engage as necessary. Our engagement priorities are global in nature and are informed by BlackRock’s observations of governance related and market developments, as well as through dialogue with multiple stakeholders, including clients. We may also update our regional engagement priorities based on issues that we believe could impact the long-term sustainable financial performance of companies in those markets. We welcome discussions with our clients on engagement and voting topics and priorities to get their perspective and better understand which issues are important to them. As outlined in our Global Principles, BlackRock determines which companies to engage directly based on our assessment of the materiality of the issue for sustainable long-term financial returns and the likelihood of our engagement being productive. Our voting guidelines are intended to help clients and companies understand our thinking on key governance matters. They are the benchmark against which we assess a company’s approach to corporate governance and the items on the agenda to be voted on at the shareholder meeting. We apply our guidelines pragmatically, </w:t>
            </w:r>
            <w:proofErr w:type="gramStart"/>
            <w:r w:rsidRPr="002632BC">
              <w:t>taking into account</w:t>
            </w:r>
            <w:proofErr w:type="gramEnd"/>
            <w:r w:rsidRPr="002632BC">
              <w:t xml:space="preserve"> a company’s unique circumstances where relevant. We inform our vote decisions through research and engage as necessary. If a client wants to implement their own voting policy, they will need to be in a segregated account. BlackRock’s Investment Stewardship team would not implement the policy </w:t>
            </w:r>
            <w:proofErr w:type="gramStart"/>
            <w:r w:rsidRPr="002632BC">
              <w:t>ourselves</w:t>
            </w:r>
            <w:proofErr w:type="gramEnd"/>
            <w:r w:rsidRPr="002632BC">
              <w:t>, but the client would engage a third-party voting execution platform to cast the votes.</w:t>
            </w:r>
          </w:p>
        </w:tc>
        <w:tc>
          <w:tcPr>
            <w:tcW w:w="129" w:type="pct"/>
            <w:vAlign w:val="center"/>
            <w:hideMark/>
          </w:tcPr>
          <w:p w14:paraId="6F43E3CC" w14:textId="77777777" w:rsidR="00A43C2E" w:rsidRPr="00A43C2E" w:rsidRDefault="00A43C2E" w:rsidP="00A43C2E">
            <w:pPr>
              <w:spacing w:after="0" w:line="240" w:lineRule="auto"/>
              <w:rPr>
                <w:rFonts w:ascii="Times New Roman" w:hAnsi="Times New Roman"/>
                <w:lang w:eastAsia="en-GB"/>
              </w:rPr>
            </w:pPr>
          </w:p>
        </w:tc>
      </w:tr>
      <w:tr w:rsidR="00A43C2E" w:rsidRPr="00A43C2E" w14:paraId="1DBDB8AC" w14:textId="77777777" w:rsidTr="00A43C2E">
        <w:trPr>
          <w:trHeight w:val="1356"/>
        </w:trPr>
        <w:tc>
          <w:tcPr>
            <w:tcW w:w="4871" w:type="pct"/>
            <w:gridSpan w:val="4"/>
            <w:vMerge/>
            <w:tcBorders>
              <w:top w:val="single" w:sz="4" w:space="0" w:color="auto"/>
              <w:left w:val="single" w:sz="4" w:space="0" w:color="auto"/>
              <w:bottom w:val="single" w:sz="4" w:space="0" w:color="000000"/>
              <w:right w:val="single" w:sz="4" w:space="0" w:color="000000"/>
            </w:tcBorders>
            <w:vAlign w:val="center"/>
            <w:hideMark/>
          </w:tcPr>
          <w:p w14:paraId="45DC9D82"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3B935201" w14:textId="77777777" w:rsidR="00A43C2E" w:rsidRPr="00A43C2E" w:rsidRDefault="00A43C2E" w:rsidP="00A43C2E">
            <w:pPr>
              <w:spacing w:after="0" w:line="240" w:lineRule="auto"/>
              <w:jc w:val="center"/>
              <w:rPr>
                <w:rFonts w:cs="Segoe UI Semilight"/>
                <w:color w:val="000000"/>
                <w:sz w:val="22"/>
                <w:szCs w:val="22"/>
                <w:lang w:eastAsia="en-GB"/>
              </w:rPr>
            </w:pPr>
          </w:p>
        </w:tc>
      </w:tr>
      <w:tr w:rsidR="00A43C2E" w:rsidRPr="00A43C2E" w14:paraId="45F57F2B" w14:textId="77777777" w:rsidTr="00BA6395">
        <w:trPr>
          <w:trHeight w:val="1254"/>
        </w:trPr>
        <w:tc>
          <w:tcPr>
            <w:tcW w:w="4871" w:type="pct"/>
            <w:gridSpan w:val="4"/>
            <w:vMerge/>
            <w:tcBorders>
              <w:top w:val="single" w:sz="4" w:space="0" w:color="auto"/>
              <w:left w:val="single" w:sz="4" w:space="0" w:color="auto"/>
              <w:bottom w:val="single" w:sz="4" w:space="0" w:color="000000"/>
              <w:right w:val="single" w:sz="4" w:space="0" w:color="000000"/>
            </w:tcBorders>
            <w:vAlign w:val="center"/>
            <w:hideMark/>
          </w:tcPr>
          <w:p w14:paraId="12625CD4"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628FE949" w14:textId="77777777" w:rsidR="00A43C2E" w:rsidRPr="00A43C2E" w:rsidRDefault="00A43C2E" w:rsidP="00A43C2E">
            <w:pPr>
              <w:spacing w:after="0" w:line="240" w:lineRule="auto"/>
              <w:rPr>
                <w:rFonts w:ascii="Times New Roman" w:hAnsi="Times New Roman"/>
                <w:lang w:eastAsia="en-GB"/>
              </w:rPr>
            </w:pPr>
          </w:p>
        </w:tc>
      </w:tr>
      <w:tr w:rsidR="00A43C2E" w:rsidRPr="00A43C2E" w14:paraId="43B2632E" w14:textId="77777777" w:rsidTr="00A43C2E">
        <w:trPr>
          <w:trHeight w:val="336"/>
        </w:trPr>
        <w:tc>
          <w:tcPr>
            <w:tcW w:w="4871" w:type="pct"/>
            <w:gridSpan w:val="4"/>
            <w:vMerge w:val="restart"/>
            <w:tcBorders>
              <w:top w:val="single" w:sz="4" w:space="0" w:color="auto"/>
              <w:left w:val="nil"/>
              <w:bottom w:val="nil"/>
              <w:right w:val="nil"/>
            </w:tcBorders>
            <w:shd w:val="clear" w:color="000000" w:fill="F04D98"/>
            <w:vAlign w:val="center"/>
            <w:hideMark/>
          </w:tcPr>
          <w:p w14:paraId="761C72CE" w14:textId="60A1303F" w:rsidR="00A43C2E" w:rsidRPr="002632BC" w:rsidRDefault="00A43C2E" w:rsidP="00A43C2E">
            <w:pPr>
              <w:spacing w:after="0" w:line="240" w:lineRule="auto"/>
              <w:jc w:val="center"/>
              <w:rPr>
                <w:rFonts w:cs="Segoe UI Semilight"/>
                <w:b/>
                <w:bCs/>
                <w:color w:val="FFFFFF"/>
                <w:lang w:eastAsia="en-GB"/>
              </w:rPr>
            </w:pPr>
            <w:r w:rsidRPr="002632BC">
              <w:rPr>
                <w:rFonts w:cs="Segoe UI Semilight"/>
                <w:b/>
                <w:bCs/>
                <w:color w:val="FFFFFF"/>
                <w:lang w:eastAsia="en-GB"/>
              </w:rPr>
              <w:t>How does this manager determine what constitutes a 'Significant Vote</w:t>
            </w:r>
            <w:r w:rsidR="008617B1" w:rsidRPr="002632BC">
              <w:rPr>
                <w:rFonts w:cs="Segoe UI Semilight"/>
                <w:b/>
                <w:bCs/>
                <w:color w:val="FFFFFF"/>
                <w:lang w:eastAsia="en-GB"/>
              </w:rPr>
              <w:t>’</w:t>
            </w:r>
            <w:r w:rsidRPr="002632BC">
              <w:rPr>
                <w:rFonts w:cs="Segoe UI Semilight"/>
                <w:b/>
                <w:bCs/>
                <w:color w:val="FFFFFF"/>
                <w:lang w:eastAsia="en-GB"/>
              </w:rPr>
              <w:t>?</w:t>
            </w:r>
          </w:p>
        </w:tc>
        <w:tc>
          <w:tcPr>
            <w:tcW w:w="129" w:type="pct"/>
            <w:vAlign w:val="center"/>
            <w:hideMark/>
          </w:tcPr>
          <w:p w14:paraId="3C6D2F0A" w14:textId="77777777" w:rsidR="00A43C2E" w:rsidRPr="00A43C2E" w:rsidRDefault="00A43C2E" w:rsidP="00A43C2E">
            <w:pPr>
              <w:spacing w:after="0" w:line="240" w:lineRule="auto"/>
              <w:rPr>
                <w:rFonts w:ascii="Times New Roman" w:hAnsi="Times New Roman"/>
                <w:lang w:eastAsia="en-GB"/>
              </w:rPr>
            </w:pPr>
          </w:p>
        </w:tc>
      </w:tr>
      <w:tr w:rsidR="00A43C2E" w:rsidRPr="00A43C2E" w14:paraId="082C08D3" w14:textId="77777777" w:rsidTr="00A43C2E">
        <w:trPr>
          <w:trHeight w:val="192"/>
        </w:trPr>
        <w:tc>
          <w:tcPr>
            <w:tcW w:w="4871" w:type="pct"/>
            <w:gridSpan w:val="4"/>
            <w:vMerge/>
            <w:tcBorders>
              <w:top w:val="single" w:sz="4" w:space="0" w:color="auto"/>
              <w:left w:val="nil"/>
              <w:bottom w:val="nil"/>
              <w:right w:val="nil"/>
            </w:tcBorders>
            <w:vAlign w:val="center"/>
            <w:hideMark/>
          </w:tcPr>
          <w:p w14:paraId="2D93BFAB" w14:textId="77777777" w:rsidR="00A43C2E" w:rsidRPr="002632BC" w:rsidRDefault="00A43C2E" w:rsidP="00A43C2E">
            <w:pPr>
              <w:spacing w:after="0" w:line="240" w:lineRule="auto"/>
              <w:rPr>
                <w:rFonts w:cs="Segoe UI Semilight"/>
                <w:b/>
                <w:bCs/>
                <w:color w:val="FFFFFF"/>
                <w:lang w:eastAsia="en-GB"/>
              </w:rPr>
            </w:pPr>
          </w:p>
        </w:tc>
        <w:tc>
          <w:tcPr>
            <w:tcW w:w="129" w:type="pct"/>
            <w:tcBorders>
              <w:top w:val="nil"/>
              <w:left w:val="nil"/>
              <w:bottom w:val="nil"/>
              <w:right w:val="nil"/>
            </w:tcBorders>
            <w:shd w:val="clear" w:color="auto" w:fill="auto"/>
            <w:noWrap/>
            <w:vAlign w:val="bottom"/>
            <w:hideMark/>
          </w:tcPr>
          <w:p w14:paraId="182CC270" w14:textId="77777777" w:rsidR="00A43C2E" w:rsidRPr="00A43C2E" w:rsidRDefault="00A43C2E" w:rsidP="00A43C2E">
            <w:pPr>
              <w:spacing w:after="0" w:line="240" w:lineRule="auto"/>
              <w:jc w:val="center"/>
              <w:rPr>
                <w:rFonts w:cs="Segoe UI Semilight"/>
                <w:b/>
                <w:bCs/>
                <w:color w:val="FFFFFF"/>
                <w:sz w:val="22"/>
                <w:szCs w:val="22"/>
                <w:lang w:eastAsia="en-GB"/>
              </w:rPr>
            </w:pPr>
          </w:p>
        </w:tc>
      </w:tr>
      <w:tr w:rsidR="00A43C2E" w:rsidRPr="00A43C2E" w14:paraId="6931DCE8" w14:textId="77777777" w:rsidTr="00AC61FD">
        <w:trPr>
          <w:trHeight w:val="336"/>
        </w:trPr>
        <w:tc>
          <w:tcPr>
            <w:tcW w:w="4871" w:type="pct"/>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7CB7440D" w14:textId="7723769C" w:rsidR="008617B1" w:rsidRPr="002632BC" w:rsidRDefault="008617B1" w:rsidP="00616789">
            <w:pPr>
              <w:spacing w:after="0" w:line="240" w:lineRule="auto"/>
              <w:jc w:val="center"/>
              <w:rPr>
                <w:rFonts w:cs="Segoe UI Semilight"/>
                <w:color w:val="000000"/>
                <w:lang w:eastAsia="en-GB"/>
              </w:rPr>
            </w:pPr>
            <w:r w:rsidRPr="002632BC">
              <w:rPr>
                <w:rFonts w:cs="Segoe UI Semilight"/>
                <w:color w:val="000000"/>
                <w:lang w:eastAsia="en-GB"/>
              </w:rPr>
              <w:t>The following is an overview of the BlackRock voting process for deciding what constitutes a ‘Significant Vote’:</w:t>
            </w:r>
          </w:p>
          <w:p w14:paraId="6482FC9F" w14:textId="2D42F4D4"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BlackRock Investment Stewardship prioritizes its work around themes that we believe will encourage sound governance practices and deliver sustainable long-term financial performance. Our year-round engagement with clients to understand their priorities and expectations, as well as our active participation in market-wide policy debates, help inform these themes. The themes we have identified in turn shape our Global Principles, market-specific Voting Guidelines and Engagement Priorities, which form the benchmark against which we look at the sustainable long-term financial performance of investee companies.</w:t>
            </w:r>
          </w:p>
          <w:p w14:paraId="10223FE6" w14:textId="77777777" w:rsidR="00616789" w:rsidRPr="002632BC" w:rsidRDefault="00616789" w:rsidP="00616789">
            <w:pPr>
              <w:spacing w:after="0" w:line="240" w:lineRule="auto"/>
              <w:jc w:val="center"/>
              <w:rPr>
                <w:rFonts w:cs="Segoe UI Semilight"/>
                <w:color w:val="000000"/>
                <w:lang w:eastAsia="en-GB"/>
              </w:rPr>
            </w:pPr>
          </w:p>
          <w:p w14:paraId="1C5B3ABB" w14:textId="22C4C31F" w:rsidR="00A43C2E"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We periodically publish “vote bulletins” setting out detailed explanations of key votes relating to governance, strategic and sustainability issues that we consider, based on our Global Principles and Engagement Priorities, material to a company’s sustainable long-term financial performance. These bulletins are intended to explain our vote decision, including the analysis underpinning it and relevant engagement history when applicable, where the issues involved are likely to be high-profile and therefore of interest to our clients and other stakeholders, and potentially represent a material risk to the investment we undertake on behalf of clients. We make this information public shortly after the shareholder meeting, so clients and others can be aware of our vote determination when it is most relevant to them. We consider these vote bulletins to contain explanations of the most significant votes for the purposes of evolving regulatory requirements.</w:t>
            </w:r>
          </w:p>
        </w:tc>
        <w:tc>
          <w:tcPr>
            <w:tcW w:w="129" w:type="pct"/>
            <w:vAlign w:val="center"/>
            <w:hideMark/>
          </w:tcPr>
          <w:p w14:paraId="72E8D49F" w14:textId="77777777" w:rsidR="00A43C2E" w:rsidRPr="00A43C2E" w:rsidRDefault="00A43C2E" w:rsidP="00A43C2E">
            <w:pPr>
              <w:spacing w:after="0" w:line="240" w:lineRule="auto"/>
              <w:rPr>
                <w:rFonts w:ascii="Times New Roman" w:hAnsi="Times New Roman"/>
                <w:lang w:eastAsia="en-GB"/>
              </w:rPr>
            </w:pPr>
          </w:p>
        </w:tc>
      </w:tr>
      <w:tr w:rsidR="00A43C2E" w:rsidRPr="00A43C2E" w14:paraId="316782B3" w14:textId="77777777" w:rsidTr="00A43C2E">
        <w:trPr>
          <w:trHeight w:val="70"/>
        </w:trPr>
        <w:tc>
          <w:tcPr>
            <w:tcW w:w="4871" w:type="pct"/>
            <w:gridSpan w:val="4"/>
            <w:vMerge/>
            <w:tcBorders>
              <w:top w:val="single" w:sz="4" w:space="0" w:color="auto"/>
              <w:left w:val="single" w:sz="4" w:space="0" w:color="auto"/>
              <w:bottom w:val="nil"/>
              <w:right w:val="single" w:sz="4" w:space="0" w:color="000000"/>
            </w:tcBorders>
            <w:vAlign w:val="center"/>
            <w:hideMark/>
          </w:tcPr>
          <w:p w14:paraId="38F4A7F1"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1CDBA577" w14:textId="77777777" w:rsidR="00A43C2E" w:rsidRPr="00A43C2E" w:rsidRDefault="00A43C2E" w:rsidP="00A43C2E">
            <w:pPr>
              <w:spacing w:after="0" w:line="240" w:lineRule="auto"/>
              <w:jc w:val="center"/>
              <w:rPr>
                <w:rFonts w:cs="Segoe UI Semilight"/>
                <w:color w:val="000000"/>
                <w:sz w:val="22"/>
                <w:szCs w:val="22"/>
                <w:lang w:eastAsia="en-GB"/>
              </w:rPr>
            </w:pPr>
          </w:p>
        </w:tc>
      </w:tr>
      <w:tr w:rsidR="00A43C2E" w:rsidRPr="00A43C2E" w14:paraId="7C3C9C8A" w14:textId="77777777" w:rsidTr="00AC61FD">
        <w:trPr>
          <w:trHeight w:val="330"/>
        </w:trPr>
        <w:tc>
          <w:tcPr>
            <w:tcW w:w="4871" w:type="pct"/>
            <w:gridSpan w:val="4"/>
            <w:vMerge w:val="restart"/>
            <w:tcBorders>
              <w:top w:val="single" w:sz="4" w:space="0" w:color="auto"/>
              <w:left w:val="nil"/>
              <w:bottom w:val="nil"/>
              <w:right w:val="nil"/>
            </w:tcBorders>
            <w:shd w:val="clear" w:color="000000" w:fill="F04D98"/>
            <w:vAlign w:val="center"/>
            <w:hideMark/>
          </w:tcPr>
          <w:p w14:paraId="6B0DD6E8" w14:textId="77777777" w:rsidR="00A43C2E" w:rsidRPr="002632BC" w:rsidRDefault="00A43C2E" w:rsidP="00616789">
            <w:pPr>
              <w:spacing w:after="0" w:line="240" w:lineRule="auto"/>
              <w:jc w:val="center"/>
              <w:rPr>
                <w:rFonts w:cs="Segoe UI Semilight"/>
                <w:b/>
                <w:bCs/>
                <w:color w:val="FFFFFF"/>
                <w:lang w:eastAsia="en-GB"/>
              </w:rPr>
            </w:pPr>
            <w:r w:rsidRPr="002632BC">
              <w:rPr>
                <w:rFonts w:cs="Segoe UI Semilight"/>
                <w:b/>
                <w:bCs/>
                <w:color w:val="FFFFFF"/>
                <w:lang w:eastAsia="en-GB"/>
              </w:rPr>
              <w:t>Does the manager utilise a Proxy Voting System? If so, please detail</w:t>
            </w:r>
          </w:p>
        </w:tc>
        <w:tc>
          <w:tcPr>
            <w:tcW w:w="129" w:type="pct"/>
            <w:vAlign w:val="center"/>
            <w:hideMark/>
          </w:tcPr>
          <w:p w14:paraId="0CFA5FDF" w14:textId="77777777" w:rsidR="00A43C2E" w:rsidRPr="00A43C2E" w:rsidRDefault="00A43C2E" w:rsidP="00A43C2E">
            <w:pPr>
              <w:spacing w:after="0" w:line="240" w:lineRule="auto"/>
              <w:rPr>
                <w:rFonts w:ascii="Times New Roman" w:hAnsi="Times New Roman"/>
                <w:lang w:eastAsia="en-GB"/>
              </w:rPr>
            </w:pPr>
          </w:p>
        </w:tc>
      </w:tr>
      <w:tr w:rsidR="00A43C2E" w:rsidRPr="00A43C2E" w14:paraId="3DE05DA9" w14:textId="77777777" w:rsidTr="00AC61FD">
        <w:trPr>
          <w:trHeight w:val="228"/>
        </w:trPr>
        <w:tc>
          <w:tcPr>
            <w:tcW w:w="4871" w:type="pct"/>
            <w:gridSpan w:val="4"/>
            <w:vMerge/>
            <w:tcBorders>
              <w:top w:val="single" w:sz="4" w:space="0" w:color="auto"/>
              <w:left w:val="nil"/>
              <w:bottom w:val="nil"/>
              <w:right w:val="nil"/>
            </w:tcBorders>
            <w:vAlign w:val="center"/>
            <w:hideMark/>
          </w:tcPr>
          <w:p w14:paraId="3C4E529E" w14:textId="77777777" w:rsidR="00A43C2E" w:rsidRPr="002632BC" w:rsidRDefault="00A43C2E" w:rsidP="00AC61FD">
            <w:pPr>
              <w:spacing w:after="0" w:line="240" w:lineRule="auto"/>
              <w:jc w:val="center"/>
              <w:rPr>
                <w:rFonts w:cs="Segoe UI Semilight"/>
                <w:b/>
                <w:bCs/>
                <w:color w:val="FFFFFF"/>
                <w:lang w:eastAsia="en-GB"/>
              </w:rPr>
            </w:pPr>
          </w:p>
        </w:tc>
        <w:tc>
          <w:tcPr>
            <w:tcW w:w="129" w:type="pct"/>
            <w:tcBorders>
              <w:top w:val="nil"/>
              <w:left w:val="nil"/>
              <w:bottom w:val="nil"/>
              <w:right w:val="nil"/>
            </w:tcBorders>
            <w:shd w:val="clear" w:color="auto" w:fill="auto"/>
            <w:noWrap/>
            <w:vAlign w:val="bottom"/>
            <w:hideMark/>
          </w:tcPr>
          <w:p w14:paraId="23C4543D" w14:textId="77777777" w:rsidR="00A43C2E" w:rsidRPr="00A43C2E" w:rsidRDefault="00A43C2E" w:rsidP="00A43C2E">
            <w:pPr>
              <w:spacing w:after="0" w:line="240" w:lineRule="auto"/>
              <w:jc w:val="center"/>
              <w:rPr>
                <w:rFonts w:cs="Segoe UI Semilight"/>
                <w:b/>
                <w:bCs/>
                <w:color w:val="FFFFFF"/>
                <w:sz w:val="22"/>
                <w:szCs w:val="22"/>
                <w:lang w:eastAsia="en-GB"/>
              </w:rPr>
            </w:pPr>
          </w:p>
        </w:tc>
      </w:tr>
      <w:tr w:rsidR="00A43C2E" w:rsidRPr="00A43C2E" w14:paraId="00C63BB4" w14:textId="77777777" w:rsidTr="00AC61FD">
        <w:trPr>
          <w:trHeight w:val="330"/>
        </w:trPr>
        <w:tc>
          <w:tcPr>
            <w:tcW w:w="4871"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37BAA8" w14:textId="08DC42C3" w:rsidR="008617B1" w:rsidRPr="002632BC" w:rsidRDefault="008617B1" w:rsidP="008617B1">
            <w:pPr>
              <w:spacing w:after="0" w:line="240" w:lineRule="auto"/>
              <w:jc w:val="center"/>
              <w:rPr>
                <w:rFonts w:cs="Segoe UI Semilight"/>
                <w:color w:val="000000"/>
                <w:lang w:eastAsia="en-GB"/>
              </w:rPr>
            </w:pPr>
            <w:r w:rsidRPr="002632BC">
              <w:rPr>
                <w:rFonts w:cs="Segoe UI Semilight"/>
                <w:color w:val="000000"/>
                <w:lang w:eastAsia="en-GB"/>
              </w:rPr>
              <w:t>The following is an overview of BlackRock’s proxy voting process:</w:t>
            </w:r>
          </w:p>
          <w:p w14:paraId="0358D1C1" w14:textId="3C33DD59"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 xml:space="preserve">BlackRock’s proxy voting process is led by the BlackRock Investment Stewardship team (BIS), which consists of three regional teams – Americas (“AMRS”), Asia-Pacific (“APAC”), and Europe, Middle </w:t>
            </w:r>
            <w:proofErr w:type="gramStart"/>
            <w:r w:rsidRPr="002632BC">
              <w:rPr>
                <w:rFonts w:cs="Segoe UI Semilight"/>
                <w:color w:val="000000"/>
                <w:lang w:eastAsia="en-GB"/>
              </w:rPr>
              <w:t>East</w:t>
            </w:r>
            <w:proofErr w:type="gramEnd"/>
            <w:r w:rsidRPr="002632BC">
              <w:rPr>
                <w:rFonts w:cs="Segoe UI Semilight"/>
                <w:color w:val="000000"/>
                <w:lang w:eastAsia="en-GB"/>
              </w:rPr>
              <w:t xml:space="preserve"> and Africa (“EMEA”) - located in seven offices around the world. The analysts with each team will generally determine how to vote at the meetings of the companies they cover.  Voting decisions are made by members of the BlackRock Investment Stewardship team with input from investment colleagues as required, in each case, in accordance with BlackRock’s Global Principles and custom market-specific voting guidelines.</w:t>
            </w:r>
          </w:p>
          <w:p w14:paraId="017384F3" w14:textId="77777777" w:rsidR="00616789" w:rsidRPr="002632BC" w:rsidRDefault="00616789" w:rsidP="00616789">
            <w:pPr>
              <w:spacing w:after="0" w:line="240" w:lineRule="auto"/>
              <w:jc w:val="center"/>
              <w:rPr>
                <w:rFonts w:cs="Segoe UI Semilight"/>
                <w:color w:val="000000"/>
                <w:lang w:eastAsia="en-GB"/>
              </w:rPr>
            </w:pPr>
          </w:p>
          <w:p w14:paraId="47C01BB8" w14:textId="0831F1B6"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While we subscribe to research from the proxy advisory firms Institutional Shareholder Services (ISS) and Glass Lewis, it is just one among many inputs into our vote analysis process, and we do not blindly follow their recommendations on how to vote. We primarily use proxy research firms to synthesise corporate governance information and analysis into a concise, easily reviewable format so that our investment stewardship analysts can readily identify and prioritise those companies where our own additional research and engagement would be beneficial. Other sources of information we use include the company’s own reporting (such as the proxy statement and the website), our engagement and voting history with the company, and the views of our active investors, public information and ESG research.</w:t>
            </w:r>
          </w:p>
          <w:p w14:paraId="2FF43996" w14:textId="77777777" w:rsidR="00616789" w:rsidRPr="002632BC" w:rsidRDefault="00616789" w:rsidP="00616789">
            <w:pPr>
              <w:spacing w:after="0" w:line="240" w:lineRule="auto"/>
              <w:jc w:val="center"/>
              <w:rPr>
                <w:rFonts w:cs="Segoe UI Semilight"/>
                <w:color w:val="000000"/>
                <w:lang w:eastAsia="en-GB"/>
              </w:rPr>
            </w:pPr>
          </w:p>
          <w:p w14:paraId="47520955" w14:textId="77777777"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 xml:space="preserve">In summary, proxy research firms help us deploy our resources to greatest effect in meeting client </w:t>
            </w:r>
            <w:proofErr w:type="gramStart"/>
            <w:r w:rsidRPr="002632BC">
              <w:rPr>
                <w:rFonts w:cs="Segoe UI Semilight"/>
                <w:color w:val="000000"/>
                <w:lang w:eastAsia="en-GB"/>
              </w:rPr>
              <w:t>expectations</w:t>
            </w:r>
            <w:proofErr w:type="gramEnd"/>
          </w:p>
          <w:p w14:paraId="313CD38D" w14:textId="77777777"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w:t>
            </w:r>
            <w:r w:rsidRPr="002632BC">
              <w:rPr>
                <w:rFonts w:cs="Segoe UI Semilight"/>
                <w:color w:val="000000"/>
                <w:lang w:eastAsia="en-GB"/>
              </w:rPr>
              <w:tab/>
              <w:t>BlackRock sees its investment stewardship program, including proxy voting, as part of its fiduciary duty to and enhance the value of clients’ assets, using our voice as a shareholder on their behalf to ensure that companies are well led and well managed</w:t>
            </w:r>
          </w:p>
          <w:p w14:paraId="058CA19E" w14:textId="77777777"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w:t>
            </w:r>
            <w:r w:rsidRPr="002632BC">
              <w:rPr>
                <w:rFonts w:cs="Segoe UI Semilight"/>
                <w:color w:val="000000"/>
                <w:lang w:eastAsia="en-GB"/>
              </w:rPr>
              <w:tab/>
              <w:t>We use proxy research firms in our voting process, primarily to synthesise information and analysis into a concise, easily reviewable format so that our analysts can readily identify and prioritise those companies where our own additional research and engagement would be beneficial</w:t>
            </w:r>
          </w:p>
          <w:p w14:paraId="7F20D242" w14:textId="7F1284DE"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w:t>
            </w:r>
            <w:r w:rsidRPr="002632BC">
              <w:rPr>
                <w:rFonts w:cs="Segoe UI Semilight"/>
                <w:color w:val="000000"/>
                <w:lang w:eastAsia="en-GB"/>
              </w:rPr>
              <w:tab/>
              <w:t>We do not follow any single proxy research firm’s voting recommendations and in most markets, we subscribe to two research providers and use several other inputs, including a company’s own disclosures, in our voting and engagement analysis</w:t>
            </w:r>
          </w:p>
          <w:p w14:paraId="292F2018" w14:textId="77777777" w:rsidR="00616789" w:rsidRPr="002632BC" w:rsidRDefault="00616789" w:rsidP="00616789">
            <w:pPr>
              <w:spacing w:after="0" w:line="240" w:lineRule="auto"/>
              <w:jc w:val="center"/>
              <w:rPr>
                <w:rFonts w:cs="Segoe UI Semilight"/>
                <w:color w:val="000000"/>
                <w:lang w:eastAsia="en-GB"/>
              </w:rPr>
            </w:pPr>
            <w:r w:rsidRPr="002632BC">
              <w:rPr>
                <w:rFonts w:cs="Segoe UI Semilight"/>
                <w:color w:val="000000"/>
                <w:lang w:eastAsia="en-GB"/>
              </w:rPr>
              <w:t>•</w:t>
            </w:r>
            <w:r w:rsidRPr="002632BC">
              <w:rPr>
                <w:rFonts w:cs="Segoe UI Semilight"/>
                <w:color w:val="000000"/>
                <w:lang w:eastAsia="en-GB"/>
              </w:rPr>
              <w:tab/>
              <w:t>We also work with proxy research firms, which apply our proxy voting guidelines to filter out routine or non-contentious proposals and refer to us any meetings where additional research and possibly engagement might be required to inform our voting decision</w:t>
            </w:r>
          </w:p>
          <w:p w14:paraId="37EF8D62" w14:textId="7FC2C5E8" w:rsidR="00A43C2E" w:rsidRPr="002632BC" w:rsidRDefault="00616789" w:rsidP="00AC61FD">
            <w:pPr>
              <w:spacing w:after="0" w:line="240" w:lineRule="auto"/>
              <w:jc w:val="center"/>
              <w:rPr>
                <w:rFonts w:cs="Segoe UI Semilight"/>
                <w:color w:val="000000"/>
                <w:lang w:eastAsia="en-GB"/>
              </w:rPr>
            </w:pPr>
            <w:r w:rsidRPr="002632BC">
              <w:rPr>
                <w:rFonts w:cs="Segoe UI Semilight"/>
                <w:color w:val="000000"/>
                <w:lang w:eastAsia="en-GB"/>
              </w:rPr>
              <w:t>•</w:t>
            </w:r>
            <w:r w:rsidRPr="002632BC">
              <w:rPr>
                <w:rFonts w:cs="Segoe UI Semilight"/>
                <w:color w:val="000000"/>
                <w:lang w:eastAsia="en-GB"/>
              </w:rPr>
              <w:tab/>
              <w:t>The proxy voting operating environment is complex and we work with proxy research firms to execute vote instructions, manage client accounts in relation to voting and facilitate client reporting on voting.</w:t>
            </w:r>
          </w:p>
        </w:tc>
        <w:tc>
          <w:tcPr>
            <w:tcW w:w="129" w:type="pct"/>
            <w:vAlign w:val="center"/>
            <w:hideMark/>
          </w:tcPr>
          <w:p w14:paraId="7C0FAF55" w14:textId="77777777" w:rsidR="00A43C2E" w:rsidRPr="00A43C2E" w:rsidRDefault="00A43C2E" w:rsidP="00A43C2E">
            <w:pPr>
              <w:spacing w:after="0" w:line="240" w:lineRule="auto"/>
              <w:rPr>
                <w:rFonts w:ascii="Times New Roman" w:hAnsi="Times New Roman"/>
                <w:lang w:eastAsia="en-GB"/>
              </w:rPr>
            </w:pPr>
          </w:p>
        </w:tc>
      </w:tr>
      <w:tr w:rsidR="00A43C2E" w:rsidRPr="00A43C2E" w14:paraId="331D7237" w14:textId="77777777" w:rsidTr="00A43C2E">
        <w:trPr>
          <w:trHeight w:val="330"/>
        </w:trPr>
        <w:tc>
          <w:tcPr>
            <w:tcW w:w="4871" w:type="pct"/>
            <w:gridSpan w:val="4"/>
            <w:vMerge/>
            <w:tcBorders>
              <w:top w:val="single" w:sz="4" w:space="0" w:color="auto"/>
              <w:left w:val="single" w:sz="4" w:space="0" w:color="auto"/>
              <w:bottom w:val="single" w:sz="4" w:space="0" w:color="000000"/>
              <w:right w:val="single" w:sz="4" w:space="0" w:color="000000"/>
            </w:tcBorders>
            <w:vAlign w:val="center"/>
            <w:hideMark/>
          </w:tcPr>
          <w:p w14:paraId="4FED2A8D"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58864BF9" w14:textId="77777777" w:rsidR="00A43C2E" w:rsidRPr="00A43C2E" w:rsidRDefault="00A43C2E" w:rsidP="00A43C2E">
            <w:pPr>
              <w:spacing w:after="0" w:line="240" w:lineRule="auto"/>
              <w:jc w:val="center"/>
              <w:rPr>
                <w:rFonts w:cs="Segoe UI Semilight"/>
                <w:color w:val="000000"/>
                <w:sz w:val="22"/>
                <w:szCs w:val="22"/>
                <w:lang w:eastAsia="en-GB"/>
              </w:rPr>
            </w:pPr>
          </w:p>
        </w:tc>
      </w:tr>
      <w:tr w:rsidR="00A43C2E" w:rsidRPr="00A43C2E" w14:paraId="3220F237" w14:textId="77777777" w:rsidTr="00A43C2E">
        <w:trPr>
          <w:trHeight w:val="70"/>
        </w:trPr>
        <w:tc>
          <w:tcPr>
            <w:tcW w:w="4871" w:type="pct"/>
            <w:gridSpan w:val="4"/>
            <w:vMerge/>
            <w:tcBorders>
              <w:top w:val="single" w:sz="4" w:space="0" w:color="auto"/>
              <w:left w:val="single" w:sz="4" w:space="0" w:color="auto"/>
              <w:bottom w:val="single" w:sz="4" w:space="0" w:color="000000"/>
              <w:right w:val="single" w:sz="4" w:space="0" w:color="000000"/>
            </w:tcBorders>
            <w:vAlign w:val="center"/>
            <w:hideMark/>
          </w:tcPr>
          <w:p w14:paraId="0BB36AE5" w14:textId="77777777" w:rsidR="00A43C2E" w:rsidRPr="002632BC" w:rsidRDefault="00A43C2E" w:rsidP="00A43C2E">
            <w:pPr>
              <w:spacing w:after="0" w:line="240" w:lineRule="auto"/>
              <w:rPr>
                <w:rFonts w:cs="Segoe UI Semilight"/>
                <w:color w:val="000000"/>
                <w:lang w:eastAsia="en-GB"/>
              </w:rPr>
            </w:pPr>
          </w:p>
        </w:tc>
        <w:tc>
          <w:tcPr>
            <w:tcW w:w="129" w:type="pct"/>
            <w:tcBorders>
              <w:top w:val="nil"/>
              <w:left w:val="nil"/>
              <w:bottom w:val="nil"/>
              <w:right w:val="nil"/>
            </w:tcBorders>
            <w:shd w:val="clear" w:color="auto" w:fill="auto"/>
            <w:noWrap/>
            <w:vAlign w:val="bottom"/>
            <w:hideMark/>
          </w:tcPr>
          <w:p w14:paraId="7D188E88" w14:textId="77777777" w:rsidR="00A43C2E" w:rsidRPr="00A43C2E" w:rsidRDefault="00A43C2E" w:rsidP="00A43C2E">
            <w:pPr>
              <w:spacing w:after="0" w:line="240" w:lineRule="auto"/>
              <w:rPr>
                <w:rFonts w:ascii="Times New Roman" w:hAnsi="Times New Roman"/>
                <w:lang w:eastAsia="en-GB"/>
              </w:rPr>
            </w:pPr>
          </w:p>
        </w:tc>
      </w:tr>
      <w:tr w:rsidR="00A43C2E" w:rsidRPr="00A43C2E" w14:paraId="78A7CCEF" w14:textId="77777777" w:rsidTr="00A43C2E">
        <w:trPr>
          <w:trHeight w:val="336"/>
        </w:trPr>
        <w:tc>
          <w:tcPr>
            <w:tcW w:w="4871" w:type="pct"/>
            <w:gridSpan w:val="4"/>
            <w:vMerge w:val="restart"/>
            <w:tcBorders>
              <w:top w:val="single" w:sz="4" w:space="0" w:color="auto"/>
              <w:left w:val="nil"/>
              <w:bottom w:val="nil"/>
              <w:right w:val="nil"/>
            </w:tcBorders>
            <w:shd w:val="clear" w:color="000000" w:fill="F04D98"/>
            <w:vAlign w:val="center"/>
            <w:hideMark/>
          </w:tcPr>
          <w:p w14:paraId="34F8F6BB" w14:textId="6E2F636B" w:rsidR="00A43C2E" w:rsidRPr="002632BC" w:rsidRDefault="00A43C2E" w:rsidP="00A43C2E">
            <w:pPr>
              <w:spacing w:after="0" w:line="240" w:lineRule="auto"/>
              <w:jc w:val="center"/>
              <w:rPr>
                <w:rFonts w:cs="Segoe UI Semilight"/>
                <w:b/>
                <w:bCs/>
                <w:color w:val="FFFFFF"/>
                <w:lang w:eastAsia="en-GB"/>
              </w:rPr>
            </w:pPr>
            <w:r w:rsidRPr="002632BC">
              <w:rPr>
                <w:rFonts w:cs="Segoe UI Semilight"/>
                <w:b/>
                <w:bCs/>
                <w:color w:val="FFFFFF"/>
                <w:lang w:eastAsia="en-GB"/>
              </w:rPr>
              <w:t>5 Significant Votes during the Period</w:t>
            </w:r>
          </w:p>
        </w:tc>
        <w:tc>
          <w:tcPr>
            <w:tcW w:w="129" w:type="pct"/>
            <w:vAlign w:val="center"/>
            <w:hideMark/>
          </w:tcPr>
          <w:p w14:paraId="4E1E3A1A" w14:textId="77777777" w:rsidR="00A43C2E" w:rsidRPr="00A43C2E" w:rsidRDefault="00A43C2E" w:rsidP="00A43C2E">
            <w:pPr>
              <w:spacing w:after="0" w:line="240" w:lineRule="auto"/>
              <w:rPr>
                <w:rFonts w:ascii="Times New Roman" w:hAnsi="Times New Roman"/>
                <w:lang w:eastAsia="en-GB"/>
              </w:rPr>
            </w:pPr>
          </w:p>
        </w:tc>
      </w:tr>
      <w:tr w:rsidR="00A43C2E" w:rsidRPr="00A43C2E" w14:paraId="78D62E43" w14:textId="77777777" w:rsidTr="00A43C2E">
        <w:trPr>
          <w:trHeight w:val="132"/>
        </w:trPr>
        <w:tc>
          <w:tcPr>
            <w:tcW w:w="4871" w:type="pct"/>
            <w:gridSpan w:val="4"/>
            <w:vMerge/>
            <w:tcBorders>
              <w:top w:val="single" w:sz="4" w:space="0" w:color="auto"/>
              <w:left w:val="nil"/>
              <w:bottom w:val="nil"/>
              <w:right w:val="nil"/>
            </w:tcBorders>
            <w:vAlign w:val="center"/>
            <w:hideMark/>
          </w:tcPr>
          <w:p w14:paraId="586DF6B1" w14:textId="77777777" w:rsidR="00A43C2E" w:rsidRPr="002632BC" w:rsidRDefault="00A43C2E" w:rsidP="00A43C2E">
            <w:pPr>
              <w:spacing w:after="0" w:line="240" w:lineRule="auto"/>
              <w:rPr>
                <w:rFonts w:cs="Segoe UI Semilight"/>
                <w:b/>
                <w:bCs/>
                <w:color w:val="FFFFFF"/>
                <w:lang w:eastAsia="en-GB"/>
              </w:rPr>
            </w:pPr>
          </w:p>
        </w:tc>
        <w:tc>
          <w:tcPr>
            <w:tcW w:w="129" w:type="pct"/>
            <w:tcBorders>
              <w:top w:val="nil"/>
              <w:left w:val="nil"/>
              <w:bottom w:val="nil"/>
              <w:right w:val="nil"/>
            </w:tcBorders>
            <w:shd w:val="clear" w:color="auto" w:fill="auto"/>
            <w:noWrap/>
            <w:vAlign w:val="bottom"/>
            <w:hideMark/>
          </w:tcPr>
          <w:p w14:paraId="0D9DC689" w14:textId="77777777" w:rsidR="00A43C2E" w:rsidRPr="00A43C2E" w:rsidRDefault="00A43C2E" w:rsidP="00A43C2E">
            <w:pPr>
              <w:spacing w:after="0" w:line="240" w:lineRule="auto"/>
              <w:jc w:val="center"/>
              <w:rPr>
                <w:rFonts w:cs="Segoe UI Semilight"/>
                <w:b/>
                <w:bCs/>
                <w:color w:val="FFFFFF"/>
                <w:sz w:val="22"/>
                <w:szCs w:val="22"/>
                <w:lang w:eastAsia="en-GB"/>
              </w:rPr>
            </w:pPr>
          </w:p>
        </w:tc>
      </w:tr>
      <w:tr w:rsidR="008617B1" w:rsidRPr="00A43C2E" w14:paraId="4DC4B27E" w14:textId="77777777" w:rsidTr="00AC61FD">
        <w:trPr>
          <w:trHeight w:val="336"/>
        </w:trPr>
        <w:tc>
          <w:tcPr>
            <w:tcW w:w="4871" w:type="pct"/>
            <w:gridSpan w:val="4"/>
            <w:tcBorders>
              <w:top w:val="single" w:sz="4" w:space="0" w:color="auto"/>
              <w:left w:val="single" w:sz="4" w:space="0" w:color="auto"/>
              <w:bottom w:val="single" w:sz="4" w:space="0" w:color="000000"/>
              <w:right w:val="single" w:sz="4" w:space="0" w:color="000000"/>
            </w:tcBorders>
            <w:shd w:val="clear" w:color="auto" w:fill="auto"/>
            <w:vAlign w:val="center"/>
          </w:tcPr>
          <w:p w14:paraId="0090B2C5" w14:textId="2727A2DE" w:rsidR="008617B1" w:rsidRPr="002632BC" w:rsidRDefault="008617B1" w:rsidP="00A43C2E">
            <w:pPr>
              <w:spacing w:after="0" w:line="240" w:lineRule="auto"/>
              <w:jc w:val="center"/>
              <w:rPr>
                <w:rFonts w:cs="Segoe UI Semilight"/>
                <w:color w:val="FFFFFF"/>
                <w:lang w:eastAsia="en-GB"/>
              </w:rPr>
            </w:pPr>
            <w:r w:rsidRPr="002632BC">
              <w:rPr>
                <w:rFonts w:cs="Segoe UI Semilight"/>
                <w:color w:val="FFFFFF" w:themeColor="background1"/>
                <w:lang w:eastAsia="en-GB"/>
              </w:rPr>
              <w:t>The examples below have been provided by BlackRock.</w:t>
            </w:r>
          </w:p>
        </w:tc>
        <w:tc>
          <w:tcPr>
            <w:tcW w:w="129" w:type="pct"/>
            <w:vAlign w:val="center"/>
          </w:tcPr>
          <w:p w14:paraId="4A26CE49" w14:textId="77777777" w:rsidR="008617B1" w:rsidRPr="00A43C2E" w:rsidRDefault="008617B1" w:rsidP="00A43C2E">
            <w:pPr>
              <w:spacing w:after="0" w:line="240" w:lineRule="auto"/>
              <w:rPr>
                <w:rFonts w:ascii="Times New Roman" w:hAnsi="Times New Roman"/>
                <w:lang w:eastAsia="en-GB"/>
              </w:rPr>
            </w:pPr>
          </w:p>
        </w:tc>
      </w:tr>
      <w:tr w:rsidR="00A43C2E" w:rsidRPr="00A43C2E" w14:paraId="590A611D" w14:textId="77777777" w:rsidTr="008617B1">
        <w:trPr>
          <w:trHeight w:val="336"/>
        </w:trPr>
        <w:tc>
          <w:tcPr>
            <w:tcW w:w="589" w:type="pct"/>
            <w:vMerge w:val="restart"/>
            <w:tcBorders>
              <w:top w:val="single" w:sz="4" w:space="0" w:color="auto"/>
              <w:left w:val="single" w:sz="4" w:space="0" w:color="auto"/>
              <w:bottom w:val="single" w:sz="4" w:space="0" w:color="000000"/>
              <w:right w:val="single" w:sz="4" w:space="0" w:color="000000"/>
            </w:tcBorders>
            <w:shd w:val="clear" w:color="000000" w:fill="F04D98"/>
            <w:vAlign w:val="center"/>
            <w:hideMark/>
          </w:tcPr>
          <w:p w14:paraId="4BB9BEE5" w14:textId="77777777" w:rsidR="00A43C2E" w:rsidRPr="002632BC" w:rsidRDefault="00A43C2E" w:rsidP="00A43C2E">
            <w:pPr>
              <w:spacing w:after="0" w:line="240" w:lineRule="auto"/>
              <w:jc w:val="center"/>
              <w:rPr>
                <w:rFonts w:cs="Segoe UI Semilight"/>
                <w:color w:val="FFFFFF"/>
                <w:lang w:eastAsia="en-GB"/>
              </w:rPr>
            </w:pPr>
            <w:r w:rsidRPr="002632BC">
              <w:rPr>
                <w:rFonts w:cs="Segoe UI Semilight"/>
                <w:color w:val="FFFFFF"/>
                <w:lang w:eastAsia="en-GB"/>
              </w:rPr>
              <w:t>Company</w:t>
            </w:r>
          </w:p>
        </w:tc>
        <w:tc>
          <w:tcPr>
            <w:tcW w:w="2329" w:type="pct"/>
            <w:vMerge w:val="restart"/>
            <w:tcBorders>
              <w:top w:val="single" w:sz="4" w:space="0" w:color="auto"/>
              <w:left w:val="single" w:sz="4" w:space="0" w:color="auto"/>
              <w:bottom w:val="single" w:sz="4" w:space="0" w:color="000000"/>
              <w:right w:val="single" w:sz="4" w:space="0" w:color="000000"/>
            </w:tcBorders>
            <w:shd w:val="clear" w:color="000000" w:fill="F04D98"/>
            <w:vAlign w:val="center"/>
            <w:hideMark/>
          </w:tcPr>
          <w:p w14:paraId="2FDD2917" w14:textId="77777777" w:rsidR="00A43C2E" w:rsidRPr="002632BC" w:rsidRDefault="00A43C2E" w:rsidP="00A43C2E">
            <w:pPr>
              <w:spacing w:after="0" w:line="240" w:lineRule="auto"/>
              <w:jc w:val="center"/>
              <w:rPr>
                <w:rFonts w:cs="Segoe UI Semilight"/>
                <w:color w:val="FFFFFF"/>
                <w:lang w:eastAsia="en-GB"/>
              </w:rPr>
            </w:pPr>
            <w:r w:rsidRPr="002632BC">
              <w:rPr>
                <w:rFonts w:cs="Segoe UI Semilight"/>
                <w:color w:val="FFFFFF"/>
                <w:lang w:eastAsia="en-GB"/>
              </w:rPr>
              <w:t>Voting Subject</w:t>
            </w:r>
          </w:p>
        </w:tc>
        <w:tc>
          <w:tcPr>
            <w:tcW w:w="1167" w:type="pct"/>
            <w:vMerge w:val="restart"/>
            <w:tcBorders>
              <w:top w:val="single" w:sz="4" w:space="0" w:color="auto"/>
              <w:left w:val="single" w:sz="4" w:space="0" w:color="auto"/>
              <w:bottom w:val="single" w:sz="4" w:space="0" w:color="000000"/>
              <w:right w:val="single" w:sz="4" w:space="0" w:color="000000"/>
            </w:tcBorders>
            <w:shd w:val="clear" w:color="000000" w:fill="F04D98"/>
            <w:vAlign w:val="center"/>
            <w:hideMark/>
          </w:tcPr>
          <w:p w14:paraId="527E1F49" w14:textId="77777777" w:rsidR="00A43C2E" w:rsidRPr="002632BC" w:rsidRDefault="00A43C2E" w:rsidP="00A43C2E">
            <w:pPr>
              <w:spacing w:after="0" w:line="240" w:lineRule="auto"/>
              <w:jc w:val="center"/>
              <w:rPr>
                <w:rFonts w:cs="Segoe UI Semilight"/>
                <w:color w:val="FFFFFF"/>
                <w:lang w:eastAsia="en-GB"/>
              </w:rPr>
            </w:pPr>
            <w:r w:rsidRPr="002632BC">
              <w:rPr>
                <w:rFonts w:cs="Segoe UI Semilight"/>
                <w:color w:val="FFFFFF"/>
                <w:lang w:eastAsia="en-GB"/>
              </w:rPr>
              <w:t>How did the Investment Manager Vote?</w:t>
            </w:r>
          </w:p>
        </w:tc>
        <w:tc>
          <w:tcPr>
            <w:tcW w:w="786" w:type="pct"/>
            <w:vMerge w:val="restart"/>
            <w:tcBorders>
              <w:top w:val="single" w:sz="4" w:space="0" w:color="auto"/>
              <w:left w:val="single" w:sz="4" w:space="0" w:color="auto"/>
              <w:bottom w:val="single" w:sz="4" w:space="0" w:color="000000"/>
              <w:right w:val="single" w:sz="4" w:space="0" w:color="000000"/>
            </w:tcBorders>
            <w:shd w:val="clear" w:color="000000" w:fill="F04D98"/>
            <w:vAlign w:val="center"/>
            <w:hideMark/>
          </w:tcPr>
          <w:p w14:paraId="4B831BBF" w14:textId="77777777" w:rsidR="00A43C2E" w:rsidRPr="002632BC" w:rsidRDefault="00A43C2E" w:rsidP="00A43C2E">
            <w:pPr>
              <w:spacing w:after="0" w:line="240" w:lineRule="auto"/>
              <w:jc w:val="center"/>
              <w:rPr>
                <w:rFonts w:cs="Segoe UI Semilight"/>
                <w:color w:val="FFFFFF"/>
                <w:lang w:eastAsia="en-GB"/>
              </w:rPr>
            </w:pPr>
            <w:r w:rsidRPr="002632BC">
              <w:rPr>
                <w:rFonts w:cs="Segoe UI Semilight"/>
                <w:color w:val="FFFFFF"/>
                <w:lang w:eastAsia="en-GB"/>
              </w:rPr>
              <w:t>Result</w:t>
            </w:r>
          </w:p>
        </w:tc>
        <w:tc>
          <w:tcPr>
            <w:tcW w:w="129" w:type="pct"/>
            <w:vAlign w:val="center"/>
            <w:hideMark/>
          </w:tcPr>
          <w:p w14:paraId="7FCC3B42" w14:textId="77777777" w:rsidR="00A43C2E" w:rsidRPr="00A43C2E" w:rsidRDefault="00A43C2E" w:rsidP="00A43C2E">
            <w:pPr>
              <w:spacing w:after="0" w:line="240" w:lineRule="auto"/>
              <w:rPr>
                <w:rFonts w:ascii="Times New Roman" w:hAnsi="Times New Roman"/>
                <w:lang w:eastAsia="en-GB"/>
              </w:rPr>
            </w:pPr>
          </w:p>
        </w:tc>
      </w:tr>
      <w:tr w:rsidR="00A43C2E" w:rsidRPr="00A43C2E" w14:paraId="4410D144" w14:textId="77777777" w:rsidTr="008617B1">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hideMark/>
          </w:tcPr>
          <w:p w14:paraId="7E3C8566" w14:textId="77777777" w:rsidR="00A43C2E" w:rsidRPr="00A43C2E" w:rsidRDefault="00A43C2E" w:rsidP="00A43C2E">
            <w:pPr>
              <w:spacing w:after="0" w:line="240" w:lineRule="auto"/>
              <w:rPr>
                <w:rFonts w:cs="Segoe UI Semilight"/>
                <w:color w:val="FFFFFF"/>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hideMark/>
          </w:tcPr>
          <w:p w14:paraId="72D6A186" w14:textId="77777777" w:rsidR="00A43C2E" w:rsidRPr="00A43C2E" w:rsidRDefault="00A43C2E" w:rsidP="00A43C2E">
            <w:pPr>
              <w:spacing w:after="0" w:line="240" w:lineRule="auto"/>
              <w:rPr>
                <w:rFonts w:cs="Segoe UI Semilight"/>
                <w:color w:val="FFFFFF"/>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hideMark/>
          </w:tcPr>
          <w:p w14:paraId="2EFF7B1B" w14:textId="77777777" w:rsidR="00A43C2E" w:rsidRPr="00A43C2E" w:rsidRDefault="00A43C2E" w:rsidP="00A43C2E">
            <w:pPr>
              <w:spacing w:after="0" w:line="240" w:lineRule="auto"/>
              <w:rPr>
                <w:rFonts w:cs="Segoe UI Semilight"/>
                <w:color w:val="FFFFFF"/>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hideMark/>
          </w:tcPr>
          <w:p w14:paraId="1A22842B" w14:textId="77777777" w:rsidR="00A43C2E" w:rsidRPr="00A43C2E" w:rsidRDefault="00A43C2E" w:rsidP="00A43C2E">
            <w:pPr>
              <w:spacing w:after="0" w:line="240" w:lineRule="auto"/>
              <w:rPr>
                <w:rFonts w:cs="Segoe UI Semilight"/>
                <w:color w:val="FFFFFF"/>
                <w:sz w:val="18"/>
                <w:szCs w:val="18"/>
                <w:lang w:eastAsia="en-GB"/>
              </w:rPr>
            </w:pPr>
          </w:p>
        </w:tc>
        <w:tc>
          <w:tcPr>
            <w:tcW w:w="129" w:type="pct"/>
            <w:tcBorders>
              <w:top w:val="nil"/>
              <w:left w:val="nil"/>
              <w:bottom w:val="nil"/>
              <w:right w:val="nil"/>
            </w:tcBorders>
            <w:shd w:val="clear" w:color="auto" w:fill="auto"/>
            <w:noWrap/>
            <w:vAlign w:val="bottom"/>
            <w:hideMark/>
          </w:tcPr>
          <w:p w14:paraId="3935126E" w14:textId="77777777" w:rsidR="00A43C2E" w:rsidRPr="00A43C2E" w:rsidRDefault="00A43C2E" w:rsidP="00A43C2E">
            <w:pPr>
              <w:spacing w:after="0" w:line="240" w:lineRule="auto"/>
              <w:jc w:val="center"/>
              <w:rPr>
                <w:rFonts w:cs="Segoe UI Semilight"/>
                <w:color w:val="FFFFFF"/>
                <w:sz w:val="22"/>
                <w:szCs w:val="22"/>
                <w:lang w:eastAsia="en-GB"/>
              </w:rPr>
            </w:pPr>
          </w:p>
        </w:tc>
      </w:tr>
      <w:tr w:rsidR="00A43C2E" w:rsidRPr="00A43C2E" w14:paraId="6319B52B" w14:textId="77777777" w:rsidTr="008617B1">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hideMark/>
          </w:tcPr>
          <w:p w14:paraId="5438E63C" w14:textId="77777777" w:rsidR="00A43C2E" w:rsidRPr="00A43C2E" w:rsidRDefault="00A43C2E" w:rsidP="00A43C2E">
            <w:pPr>
              <w:spacing w:after="0" w:line="240" w:lineRule="auto"/>
              <w:rPr>
                <w:rFonts w:cs="Segoe UI Semilight"/>
                <w:color w:val="FFFFFF"/>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hideMark/>
          </w:tcPr>
          <w:p w14:paraId="25E55F0B" w14:textId="77777777" w:rsidR="00A43C2E" w:rsidRPr="00A43C2E" w:rsidRDefault="00A43C2E" w:rsidP="00A43C2E">
            <w:pPr>
              <w:spacing w:after="0" w:line="240" w:lineRule="auto"/>
              <w:rPr>
                <w:rFonts w:cs="Segoe UI Semilight"/>
                <w:color w:val="FFFFFF"/>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hideMark/>
          </w:tcPr>
          <w:p w14:paraId="6B7BFB44" w14:textId="77777777" w:rsidR="00A43C2E" w:rsidRPr="00A43C2E" w:rsidRDefault="00A43C2E" w:rsidP="00A43C2E">
            <w:pPr>
              <w:spacing w:after="0" w:line="240" w:lineRule="auto"/>
              <w:rPr>
                <w:rFonts w:cs="Segoe UI Semilight"/>
                <w:color w:val="FFFFFF"/>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hideMark/>
          </w:tcPr>
          <w:p w14:paraId="0E634A7B" w14:textId="77777777" w:rsidR="00A43C2E" w:rsidRPr="00A43C2E" w:rsidRDefault="00A43C2E" w:rsidP="00A43C2E">
            <w:pPr>
              <w:spacing w:after="0" w:line="240" w:lineRule="auto"/>
              <w:rPr>
                <w:rFonts w:cs="Segoe UI Semilight"/>
                <w:color w:val="FFFFFF"/>
                <w:sz w:val="18"/>
                <w:szCs w:val="18"/>
                <w:lang w:eastAsia="en-GB"/>
              </w:rPr>
            </w:pPr>
          </w:p>
        </w:tc>
        <w:tc>
          <w:tcPr>
            <w:tcW w:w="129" w:type="pct"/>
            <w:tcBorders>
              <w:top w:val="nil"/>
              <w:left w:val="nil"/>
              <w:bottom w:val="nil"/>
              <w:right w:val="nil"/>
            </w:tcBorders>
            <w:shd w:val="clear" w:color="auto" w:fill="auto"/>
            <w:noWrap/>
            <w:vAlign w:val="bottom"/>
            <w:hideMark/>
          </w:tcPr>
          <w:p w14:paraId="122CFE05" w14:textId="77777777" w:rsidR="00A43C2E" w:rsidRPr="00A43C2E" w:rsidRDefault="00A43C2E" w:rsidP="00A43C2E">
            <w:pPr>
              <w:spacing w:after="0" w:line="240" w:lineRule="auto"/>
              <w:rPr>
                <w:rFonts w:ascii="Times New Roman" w:hAnsi="Times New Roman"/>
                <w:lang w:eastAsia="en-GB"/>
              </w:rPr>
            </w:pPr>
          </w:p>
        </w:tc>
      </w:tr>
      <w:tr w:rsidR="00A43C2E" w:rsidRPr="002F79A3" w14:paraId="5CFD687B" w14:textId="77777777" w:rsidTr="00AC61FD">
        <w:trPr>
          <w:trHeight w:val="336"/>
        </w:trPr>
        <w:tc>
          <w:tcPr>
            <w:tcW w:w="58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C482B07" w14:textId="2B05EFBE" w:rsidR="00A43C2E" w:rsidRPr="002632BC" w:rsidRDefault="00616789"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J Sainsbury</w:t>
            </w:r>
            <w:r w:rsidR="00A654AA" w:rsidRPr="002632BC">
              <w:rPr>
                <w:rFonts w:asciiTheme="minorHAnsi" w:hAnsiTheme="minorHAnsi" w:cstheme="minorHAnsi"/>
                <w:b/>
                <w:bCs/>
                <w:color w:val="000000"/>
                <w:lang w:eastAsia="en-GB"/>
              </w:rPr>
              <w:t xml:space="preserve"> </w:t>
            </w:r>
            <w:r w:rsidRPr="002632BC">
              <w:rPr>
                <w:rFonts w:asciiTheme="minorHAnsi" w:hAnsiTheme="minorHAnsi" w:cstheme="minorHAnsi"/>
                <w:b/>
                <w:bCs/>
                <w:color w:val="000000"/>
                <w:lang w:eastAsia="en-GB"/>
              </w:rPr>
              <w:t>plc</w:t>
            </w:r>
          </w:p>
        </w:tc>
        <w:tc>
          <w:tcPr>
            <w:tcW w:w="232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7A7A7C7" w14:textId="704D31A8" w:rsidR="00A43C2E" w:rsidRPr="002632BC" w:rsidRDefault="00616789" w:rsidP="00A4607D">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rPr>
              <w:t>Item 21: Shareholder Resolution on Living Wage Accreditation</w:t>
            </w:r>
          </w:p>
        </w:tc>
        <w:tc>
          <w:tcPr>
            <w:tcW w:w="1167"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5DC3710" w14:textId="596DD882" w:rsidR="00A43C2E" w:rsidRPr="002632BC" w:rsidRDefault="00616789"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 xml:space="preserve">BlackRock voted AGAINST this shareholder </w:t>
            </w:r>
            <w:proofErr w:type="gramStart"/>
            <w:r w:rsidRPr="002632BC">
              <w:rPr>
                <w:rFonts w:asciiTheme="minorHAnsi" w:hAnsiTheme="minorHAnsi" w:cstheme="minorHAnsi"/>
                <w:b/>
                <w:bCs/>
                <w:color w:val="000000"/>
                <w:lang w:eastAsia="en-GB"/>
              </w:rPr>
              <w:t>proposal</w:t>
            </w:r>
            <w:proofErr w:type="gramEnd"/>
            <w:r w:rsidRPr="002632BC">
              <w:rPr>
                <w:rFonts w:asciiTheme="minorHAnsi" w:hAnsiTheme="minorHAnsi" w:cstheme="minorHAnsi"/>
                <w:b/>
                <w:bCs/>
                <w:color w:val="000000"/>
                <w:lang w:eastAsia="en-GB"/>
              </w:rPr>
              <w:cr/>
            </w:r>
            <w:r w:rsidR="00A654AA" w:rsidRPr="002632BC">
              <w:rPr>
                <w:rFonts w:asciiTheme="minorHAnsi" w:hAnsiTheme="minorHAnsi" w:cstheme="minorHAnsi"/>
                <w:b/>
                <w:bCs/>
                <w:color w:val="000000"/>
                <w:lang w:eastAsia="en-GB"/>
              </w:rPr>
              <w:t xml:space="preserve"> </w:t>
            </w:r>
            <w:r w:rsidR="00A654AA" w:rsidRPr="002632BC">
              <w:rPr>
                <w:rFonts w:asciiTheme="minorHAnsi" w:hAnsiTheme="minorHAnsi" w:cstheme="minorHAnsi"/>
                <w:b/>
                <w:bCs/>
              </w:rPr>
              <w:t>(</w:t>
            </w:r>
            <w:proofErr w:type="gramStart"/>
            <w:r w:rsidR="00A654AA" w:rsidRPr="002632BC">
              <w:rPr>
                <w:rFonts w:asciiTheme="minorHAnsi" w:hAnsiTheme="minorHAnsi" w:cstheme="minorHAnsi"/>
                <w:b/>
                <w:bCs/>
              </w:rPr>
              <w:t>in</w:t>
            </w:r>
            <w:proofErr w:type="gramEnd"/>
            <w:r w:rsidR="00A654AA" w:rsidRPr="002632BC">
              <w:rPr>
                <w:rFonts w:asciiTheme="minorHAnsi" w:hAnsiTheme="minorHAnsi" w:cstheme="minorHAnsi"/>
                <w:b/>
                <w:bCs/>
              </w:rPr>
              <w:t xml:space="preserve"> line with Board recommendation)</w:t>
            </w:r>
          </w:p>
        </w:tc>
        <w:tc>
          <w:tcPr>
            <w:tcW w:w="7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C393C60" w14:textId="58260041" w:rsidR="00A43C2E" w:rsidRPr="002632BC" w:rsidRDefault="00EF09A8"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Not provided</w:t>
            </w:r>
          </w:p>
        </w:tc>
        <w:tc>
          <w:tcPr>
            <w:tcW w:w="129" w:type="pct"/>
            <w:vAlign w:val="center"/>
            <w:hideMark/>
          </w:tcPr>
          <w:p w14:paraId="4ACE075D"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5D027E12" w14:textId="77777777" w:rsidTr="00AC61FD">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tcPr>
          <w:p w14:paraId="009E0D88"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4A79BB86"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3B1BE876"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38B1C192"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165BDB8D" w14:textId="77777777" w:rsidR="00A43C2E" w:rsidRPr="002F79A3" w:rsidRDefault="00A43C2E" w:rsidP="00A43C2E">
            <w:pPr>
              <w:spacing w:after="0" w:line="240" w:lineRule="auto"/>
              <w:jc w:val="center"/>
              <w:rPr>
                <w:rFonts w:asciiTheme="minorHAnsi" w:hAnsiTheme="minorHAnsi" w:cstheme="minorHAnsi"/>
                <w:color w:val="000000"/>
                <w:sz w:val="18"/>
                <w:szCs w:val="18"/>
                <w:lang w:eastAsia="en-GB"/>
              </w:rPr>
            </w:pPr>
          </w:p>
        </w:tc>
      </w:tr>
      <w:tr w:rsidR="00A43C2E" w:rsidRPr="002F79A3" w14:paraId="5E976B18" w14:textId="77777777" w:rsidTr="00AC61FD">
        <w:trPr>
          <w:trHeight w:val="70"/>
        </w:trPr>
        <w:tc>
          <w:tcPr>
            <w:tcW w:w="589" w:type="pct"/>
            <w:vMerge/>
            <w:tcBorders>
              <w:top w:val="single" w:sz="4" w:space="0" w:color="auto"/>
              <w:left w:val="single" w:sz="4" w:space="0" w:color="auto"/>
              <w:bottom w:val="single" w:sz="4" w:space="0" w:color="000000"/>
              <w:right w:val="single" w:sz="4" w:space="0" w:color="000000"/>
            </w:tcBorders>
            <w:vAlign w:val="center"/>
          </w:tcPr>
          <w:p w14:paraId="43AB6E2D"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22AE94EF"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1E944D79"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3A6CDAB9"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7D0FB4C9"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29EBDC51" w14:textId="77777777" w:rsidTr="00AC61FD">
        <w:trPr>
          <w:trHeight w:val="699"/>
        </w:trPr>
        <w:tc>
          <w:tcPr>
            <w:tcW w:w="4871"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3FED59C" w14:textId="17D962FB" w:rsidR="00A654AA" w:rsidRDefault="00A654AA" w:rsidP="00A654AA">
            <w:pPr>
              <w:spacing w:after="0" w:line="240" w:lineRule="auto"/>
              <w:jc w:val="center"/>
            </w:pPr>
            <w:r>
              <w:t>BlackRock Investment Stewardship (BIS) supports companies paying their workers a wage equal to or above current real living wage rates, and we engage with boards and management on their approach to ensuring their company is best placed to recruit and retain the workers on which they depend for their success.</w:t>
            </w:r>
          </w:p>
          <w:p w14:paraId="1C490DEF" w14:textId="77777777" w:rsidR="00A654AA" w:rsidRDefault="00A654AA" w:rsidP="00A654AA">
            <w:pPr>
              <w:spacing w:after="0" w:line="240" w:lineRule="auto"/>
              <w:jc w:val="center"/>
            </w:pPr>
          </w:p>
          <w:p w14:paraId="6C002D78" w14:textId="6707A5AE" w:rsidR="00A654AA" w:rsidRDefault="00A654AA" w:rsidP="00A654AA">
            <w:pPr>
              <w:spacing w:after="0" w:line="240" w:lineRule="auto"/>
              <w:jc w:val="center"/>
            </w:pPr>
            <w:r>
              <w:t xml:space="preserve">However, we did not support the shareholder proposal. In our view, worker pay policies and rates should be determined by company management, with reference to relevant regulations and board oversight. We do not </w:t>
            </w:r>
            <w:r>
              <w:lastRenderedPageBreak/>
              <w:t xml:space="preserve">believe it is consistent with our clients’ long-term interests to legally bind J Sainsbury plc (Sainsbury’s) to peg their pay levels to those set by the Living Wage Foundation, as the passing of the shareholder proposal would require. This decision reflects our view that it is not the role of shareholders to direct company management to cede control of a key decision, core to the company’s ability to deliver their strategy and balance the interests of all stakeholders, to a third-party. </w:t>
            </w:r>
          </w:p>
          <w:p w14:paraId="1404EE42" w14:textId="77777777" w:rsidR="00A654AA" w:rsidRDefault="00A654AA" w:rsidP="00A654AA">
            <w:pPr>
              <w:spacing w:after="0" w:line="240" w:lineRule="auto"/>
              <w:jc w:val="center"/>
            </w:pPr>
          </w:p>
          <w:p w14:paraId="0E990483" w14:textId="77777777" w:rsidR="00A654AA" w:rsidRDefault="00A654AA" w:rsidP="00A654AA">
            <w:pPr>
              <w:spacing w:after="0" w:line="240" w:lineRule="auto"/>
              <w:jc w:val="center"/>
            </w:pPr>
            <w:r>
              <w:t xml:space="preserve">Further, Sainsbury’s have demonstrated over time their willingness to respond to changing stakeholder expectations. On this issue, they have a strong track record of offering above-market employee benefits. They engaged constructively with the parties who submitted the shareholder proposal, and with other investors, including BlackRock. They recently enhanced their pay </w:t>
            </w:r>
            <w:proofErr w:type="gramStart"/>
            <w:r>
              <w:t>policies</w:t>
            </w:r>
            <w:proofErr w:type="gramEnd"/>
            <w:r>
              <w:t xml:space="preserve"> so all direct employees receive the real living wage appropriate to the region in which they live. We encourage Sainsbury’s to continue to engage with their supplier partners to also pay the real living wage to contract workers’.</w:t>
            </w:r>
          </w:p>
          <w:p w14:paraId="55EB0318" w14:textId="77777777" w:rsidR="00A654AA" w:rsidRDefault="00A654AA" w:rsidP="00A654AA">
            <w:pPr>
              <w:spacing w:after="0" w:line="240" w:lineRule="auto"/>
              <w:jc w:val="center"/>
            </w:pPr>
          </w:p>
          <w:p w14:paraId="6E53F661" w14:textId="0BAE5495" w:rsidR="000A3F40" w:rsidRDefault="00A654AA" w:rsidP="00A654AA">
            <w:pPr>
              <w:spacing w:after="0" w:line="240" w:lineRule="auto"/>
              <w:jc w:val="center"/>
            </w:pPr>
            <w:r>
              <w:t>Given the importance of frontline workers to the company’s success, we will continue to engage with Sainsbury’s on their approach to human capital management.</w:t>
            </w:r>
          </w:p>
          <w:p w14:paraId="71F45D18" w14:textId="48C0E430" w:rsidR="00A43C2E" w:rsidRPr="002F79A3" w:rsidRDefault="00A43C2E" w:rsidP="00A654AA">
            <w:pPr>
              <w:spacing w:after="0" w:line="240" w:lineRule="auto"/>
              <w:jc w:val="center"/>
              <w:rPr>
                <w:rFonts w:asciiTheme="minorHAnsi" w:hAnsiTheme="minorHAnsi" w:cstheme="minorHAnsi"/>
                <w:color w:val="000000"/>
                <w:sz w:val="18"/>
                <w:szCs w:val="18"/>
                <w:lang w:eastAsia="en-GB"/>
              </w:rPr>
            </w:pPr>
          </w:p>
        </w:tc>
        <w:tc>
          <w:tcPr>
            <w:tcW w:w="129" w:type="pct"/>
            <w:vAlign w:val="center"/>
            <w:hideMark/>
          </w:tcPr>
          <w:p w14:paraId="46A458B4"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111BF43A" w14:textId="77777777" w:rsidTr="00AC61FD">
        <w:trPr>
          <w:trHeight w:val="336"/>
        </w:trPr>
        <w:tc>
          <w:tcPr>
            <w:tcW w:w="58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86FCA9E" w14:textId="0CA0914D" w:rsidR="00A43C2E" w:rsidRPr="002632BC" w:rsidRDefault="00A654AA"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rPr>
              <w:t>NWD</w:t>
            </w:r>
          </w:p>
        </w:tc>
        <w:tc>
          <w:tcPr>
            <w:tcW w:w="232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3BCFC45" w14:textId="2DDFE90F" w:rsidR="00A43C2E" w:rsidRPr="002632BC" w:rsidRDefault="00A654AA"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rPr>
              <w:t xml:space="preserve">Item 3(e): To re-elect Mr. Lee </w:t>
            </w:r>
            <w:proofErr w:type="spellStart"/>
            <w:r w:rsidRPr="002632BC">
              <w:rPr>
                <w:rFonts w:asciiTheme="minorHAnsi" w:hAnsiTheme="minorHAnsi" w:cstheme="minorHAnsi"/>
                <w:b/>
                <w:bCs/>
              </w:rPr>
              <w:t>Luen</w:t>
            </w:r>
            <w:proofErr w:type="spellEnd"/>
            <w:r w:rsidRPr="002632BC">
              <w:rPr>
                <w:rFonts w:asciiTheme="minorHAnsi" w:hAnsiTheme="minorHAnsi" w:cstheme="minorHAnsi"/>
                <w:b/>
                <w:bCs/>
              </w:rPr>
              <w:t>-Wai, John as Director</w:t>
            </w:r>
          </w:p>
        </w:tc>
        <w:tc>
          <w:tcPr>
            <w:tcW w:w="1167"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426B9FC" w14:textId="53D89FB3" w:rsidR="00A43C2E" w:rsidRPr="002632BC" w:rsidRDefault="00A654AA" w:rsidP="00A654AA">
            <w:pPr>
              <w:spacing w:after="0" w:line="240" w:lineRule="auto"/>
              <w:jc w:val="center"/>
              <w:rPr>
                <w:rFonts w:asciiTheme="minorHAnsi" w:hAnsiTheme="minorHAnsi" w:cstheme="minorHAnsi"/>
                <w:b/>
                <w:bCs/>
              </w:rPr>
            </w:pPr>
            <w:r w:rsidRPr="002632BC">
              <w:rPr>
                <w:rFonts w:asciiTheme="minorHAnsi" w:hAnsiTheme="minorHAnsi" w:cstheme="minorHAnsi"/>
                <w:b/>
                <w:bCs/>
              </w:rPr>
              <w:t>BlackRock voted FOR item 3(e) (in line with Board recommendation)</w:t>
            </w:r>
          </w:p>
        </w:tc>
        <w:tc>
          <w:tcPr>
            <w:tcW w:w="7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CB9C700" w14:textId="015255A9" w:rsidR="00A43C2E" w:rsidRPr="002632BC" w:rsidRDefault="00EF09A8"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Not provided</w:t>
            </w:r>
          </w:p>
        </w:tc>
        <w:tc>
          <w:tcPr>
            <w:tcW w:w="129" w:type="pct"/>
            <w:vAlign w:val="center"/>
            <w:hideMark/>
          </w:tcPr>
          <w:p w14:paraId="6E14054B"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4B146E52" w14:textId="77777777" w:rsidTr="00AC61FD">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tcPr>
          <w:p w14:paraId="787510C9"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3E11E64E"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4FBD1EC5"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25523CA4"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129" w:type="pct"/>
            <w:tcBorders>
              <w:top w:val="nil"/>
              <w:left w:val="nil"/>
              <w:bottom w:val="nil"/>
              <w:right w:val="nil"/>
            </w:tcBorders>
            <w:shd w:val="clear" w:color="auto" w:fill="auto"/>
            <w:noWrap/>
            <w:vAlign w:val="bottom"/>
            <w:hideMark/>
          </w:tcPr>
          <w:p w14:paraId="5EED2795" w14:textId="77777777" w:rsidR="00A43C2E" w:rsidRPr="002F79A3" w:rsidRDefault="00A43C2E" w:rsidP="00A43C2E">
            <w:pPr>
              <w:spacing w:after="0" w:line="240" w:lineRule="auto"/>
              <w:jc w:val="center"/>
              <w:rPr>
                <w:rFonts w:asciiTheme="minorHAnsi" w:hAnsiTheme="minorHAnsi" w:cstheme="minorHAnsi"/>
                <w:color w:val="000000"/>
                <w:sz w:val="18"/>
                <w:szCs w:val="18"/>
                <w:lang w:eastAsia="en-GB"/>
              </w:rPr>
            </w:pPr>
          </w:p>
        </w:tc>
      </w:tr>
      <w:tr w:rsidR="00A43C2E" w:rsidRPr="002F79A3" w14:paraId="680B247C" w14:textId="77777777" w:rsidTr="00AC61FD">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tcPr>
          <w:p w14:paraId="69D92EE8"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4BE9626E"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5372023B"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57CC7D54" w14:textId="77777777" w:rsidR="00A43C2E" w:rsidRPr="002632BC" w:rsidRDefault="00A43C2E" w:rsidP="00A43C2E">
            <w:pPr>
              <w:spacing w:after="0" w:line="240" w:lineRule="auto"/>
              <w:rPr>
                <w:rFonts w:asciiTheme="minorHAnsi" w:hAnsiTheme="minorHAnsi" w:cstheme="minorHAnsi"/>
                <w:color w:val="000000"/>
                <w:lang w:eastAsia="en-GB"/>
              </w:rPr>
            </w:pPr>
          </w:p>
        </w:tc>
        <w:tc>
          <w:tcPr>
            <w:tcW w:w="129" w:type="pct"/>
            <w:tcBorders>
              <w:top w:val="nil"/>
              <w:left w:val="nil"/>
              <w:bottom w:val="nil"/>
              <w:right w:val="nil"/>
            </w:tcBorders>
            <w:shd w:val="clear" w:color="auto" w:fill="auto"/>
            <w:noWrap/>
            <w:vAlign w:val="bottom"/>
            <w:hideMark/>
          </w:tcPr>
          <w:p w14:paraId="5AF0EEEF"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1C3BA944" w14:textId="77777777" w:rsidTr="00AC61FD">
        <w:trPr>
          <w:trHeight w:val="984"/>
        </w:trPr>
        <w:tc>
          <w:tcPr>
            <w:tcW w:w="4871"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E8384D6" w14:textId="6DEDCB0B" w:rsidR="00A43C2E" w:rsidRPr="002632BC" w:rsidRDefault="00A654AA" w:rsidP="000A3F40">
            <w:pPr>
              <w:spacing w:after="0" w:line="240" w:lineRule="auto"/>
              <w:jc w:val="center"/>
              <w:rPr>
                <w:rFonts w:asciiTheme="minorHAnsi" w:hAnsiTheme="minorHAnsi" w:cstheme="minorHAnsi"/>
                <w:color w:val="000000"/>
                <w:lang w:eastAsia="en-GB"/>
              </w:rPr>
            </w:pPr>
            <w:r w:rsidRPr="002632BC">
              <w:t xml:space="preserve">BIS supported the re-election of Mr. Lee </w:t>
            </w:r>
            <w:proofErr w:type="spellStart"/>
            <w:r w:rsidRPr="002632BC">
              <w:t>Luen</w:t>
            </w:r>
            <w:proofErr w:type="spellEnd"/>
            <w:r w:rsidRPr="002632BC">
              <w:t xml:space="preserve">-Wai, John, despite his long tenure on the board, because we believe shareholders would be well served by an orderly renewal of the board, rather than replacing all four experienced INEDs at once. We note that NWD has been responsive to shareholder concerns, including BIS’, regarding the tenure and related independence of their INEDs and we believe the company is moving in the right direction. </w:t>
            </w:r>
          </w:p>
        </w:tc>
        <w:tc>
          <w:tcPr>
            <w:tcW w:w="129" w:type="pct"/>
            <w:vAlign w:val="center"/>
            <w:hideMark/>
          </w:tcPr>
          <w:p w14:paraId="668BCCC6"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7C89F3ED" w14:textId="77777777" w:rsidTr="00AC61FD">
        <w:trPr>
          <w:trHeight w:val="336"/>
        </w:trPr>
        <w:tc>
          <w:tcPr>
            <w:tcW w:w="58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7D9474E" w14:textId="569344C1" w:rsidR="00A43C2E" w:rsidRPr="002632BC" w:rsidRDefault="000A3F40"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Alphabet, Inc.</w:t>
            </w:r>
          </w:p>
        </w:tc>
        <w:tc>
          <w:tcPr>
            <w:tcW w:w="232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96B1BBB" w14:textId="2F42E311" w:rsidR="000A3F40" w:rsidRPr="002632BC" w:rsidRDefault="000A3F40" w:rsidP="000A3F40">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Item 8: Report on Metrics and Efforts to Reduce Water Related Risk (Shareholder proposal)</w:t>
            </w:r>
          </w:p>
          <w:p w14:paraId="25915E9E" w14:textId="14A5F149" w:rsidR="00A43C2E" w:rsidRPr="002632BC" w:rsidRDefault="000A3F40" w:rsidP="008E5D8D">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Item 9: Oversee and Report a Third-Party Racial Equity Audit (Shareholder proposal)</w:t>
            </w:r>
          </w:p>
        </w:tc>
        <w:tc>
          <w:tcPr>
            <w:tcW w:w="1167"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4E7A0B9" w14:textId="3C40396A" w:rsidR="00A43C2E" w:rsidRPr="002632BC" w:rsidRDefault="000A3F40" w:rsidP="00AC163F">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 xml:space="preserve">BlackRock voted FOR these shareholder proposals </w:t>
            </w:r>
            <w:r w:rsidR="00A654AA" w:rsidRPr="002632BC">
              <w:rPr>
                <w:rFonts w:asciiTheme="minorHAnsi" w:hAnsiTheme="minorHAnsi" w:cstheme="minorHAnsi"/>
                <w:b/>
                <w:bCs/>
                <w:color w:val="000000"/>
                <w:lang w:eastAsia="en-GB"/>
              </w:rPr>
              <w:t>(against Board recommendation)</w:t>
            </w:r>
          </w:p>
        </w:tc>
        <w:tc>
          <w:tcPr>
            <w:tcW w:w="7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50DC46E" w14:textId="06E77BD7" w:rsidR="00A43C2E" w:rsidRPr="002632BC" w:rsidRDefault="00BC2895"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Not provided</w:t>
            </w:r>
          </w:p>
        </w:tc>
        <w:tc>
          <w:tcPr>
            <w:tcW w:w="129" w:type="pct"/>
            <w:vAlign w:val="center"/>
            <w:hideMark/>
          </w:tcPr>
          <w:p w14:paraId="0C358708"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4216C011" w14:textId="77777777" w:rsidTr="00AC61FD">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tcPr>
          <w:p w14:paraId="535FC9E0"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1CD07D1B"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055C296A"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3BAD6841"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0685478E" w14:textId="77777777" w:rsidR="00A43C2E" w:rsidRPr="002F79A3" w:rsidRDefault="00A43C2E" w:rsidP="00A43C2E">
            <w:pPr>
              <w:spacing w:after="0" w:line="240" w:lineRule="auto"/>
              <w:jc w:val="center"/>
              <w:rPr>
                <w:rFonts w:asciiTheme="minorHAnsi" w:hAnsiTheme="minorHAnsi" w:cstheme="minorHAnsi"/>
                <w:color w:val="000000"/>
                <w:sz w:val="18"/>
                <w:szCs w:val="18"/>
                <w:lang w:eastAsia="en-GB"/>
              </w:rPr>
            </w:pPr>
          </w:p>
        </w:tc>
      </w:tr>
      <w:tr w:rsidR="00A43C2E" w:rsidRPr="002F79A3" w14:paraId="5419A3BA" w14:textId="77777777" w:rsidTr="00AC61FD">
        <w:trPr>
          <w:trHeight w:val="808"/>
        </w:trPr>
        <w:tc>
          <w:tcPr>
            <w:tcW w:w="589" w:type="pct"/>
            <w:vMerge/>
            <w:tcBorders>
              <w:top w:val="single" w:sz="4" w:space="0" w:color="auto"/>
              <w:left w:val="single" w:sz="4" w:space="0" w:color="auto"/>
              <w:bottom w:val="single" w:sz="4" w:space="0" w:color="000000"/>
              <w:right w:val="single" w:sz="4" w:space="0" w:color="000000"/>
            </w:tcBorders>
            <w:vAlign w:val="center"/>
          </w:tcPr>
          <w:p w14:paraId="7DD32FD4"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29DEC82F"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62B289C4"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765C041C"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43169331"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6137B4E3" w14:textId="77777777" w:rsidTr="00AC163F">
        <w:trPr>
          <w:trHeight w:val="336"/>
        </w:trPr>
        <w:tc>
          <w:tcPr>
            <w:tcW w:w="4871" w:type="pct"/>
            <w:gridSpan w:val="4"/>
            <w:tcBorders>
              <w:top w:val="single" w:sz="4" w:space="0" w:color="auto"/>
              <w:left w:val="single" w:sz="4" w:space="0" w:color="auto"/>
              <w:bottom w:val="single" w:sz="4" w:space="0" w:color="auto"/>
              <w:right w:val="single" w:sz="4" w:space="0" w:color="000000"/>
            </w:tcBorders>
            <w:shd w:val="clear" w:color="auto" w:fill="auto"/>
          </w:tcPr>
          <w:p w14:paraId="530B44CB" w14:textId="77777777" w:rsidR="000A3F40" w:rsidRPr="00AC61FD" w:rsidRDefault="000A3F40" w:rsidP="000A3F40">
            <w:pPr>
              <w:spacing w:after="0" w:line="240" w:lineRule="auto"/>
              <w:jc w:val="center"/>
              <w:rPr>
                <w:i/>
                <w:iCs/>
                <w:u w:val="single"/>
              </w:rPr>
            </w:pPr>
            <w:r w:rsidRPr="00AC61FD">
              <w:rPr>
                <w:i/>
                <w:iCs/>
                <w:u w:val="single"/>
              </w:rPr>
              <w:t>Item 8: Report on Metrics and Efforts to Reduce Water Related Risk (FOR)</w:t>
            </w:r>
          </w:p>
          <w:p w14:paraId="45BB73DB" w14:textId="6938AA8D" w:rsidR="000A3F40" w:rsidRDefault="000A3F40" w:rsidP="004B74B1">
            <w:pPr>
              <w:spacing w:after="0" w:line="240" w:lineRule="auto"/>
              <w:jc w:val="center"/>
            </w:pPr>
            <w:r>
              <w:t xml:space="preserve">BIS supported this shareholder proposal because, in our assessment, shareholders would benefit from </w:t>
            </w:r>
            <w:proofErr w:type="gramStart"/>
            <w:r>
              <w:t>more  information</w:t>
            </w:r>
            <w:proofErr w:type="gramEnd"/>
            <w:r>
              <w:t xml:space="preserve"> on the company’s approach to water dependencies and impact.</w:t>
            </w:r>
          </w:p>
          <w:p w14:paraId="6DC9F88C" w14:textId="77777777" w:rsidR="00C81AF1" w:rsidRDefault="00C81AF1" w:rsidP="004B74B1">
            <w:pPr>
              <w:spacing w:after="0" w:line="240" w:lineRule="auto"/>
              <w:jc w:val="center"/>
            </w:pPr>
          </w:p>
          <w:p w14:paraId="17CE7ACC" w14:textId="6A5AA392" w:rsidR="00C81AF1" w:rsidRDefault="00C81AF1" w:rsidP="00C81AF1">
            <w:pPr>
              <w:spacing w:after="0" w:line="240" w:lineRule="auto"/>
              <w:jc w:val="center"/>
            </w:pPr>
            <w:r>
              <w:t xml:space="preserve">The shareholder proposal requested that </w:t>
            </w:r>
            <w:r w:rsidR="005B4C1D">
              <w:t>“</w:t>
            </w:r>
            <w:r>
              <w:t>Google annually report, at reasonable cost, quantitative water-</w:t>
            </w:r>
            <w:proofErr w:type="gramStart"/>
            <w:r>
              <w:t>related</w:t>
            </w:r>
            <w:proofErr w:type="gramEnd"/>
          </w:p>
          <w:p w14:paraId="6749A48C" w14:textId="5F4DB950" w:rsidR="00C81AF1" w:rsidRDefault="00C81AF1" w:rsidP="00C81AF1">
            <w:pPr>
              <w:spacing w:after="0" w:line="240" w:lineRule="auto"/>
              <w:jc w:val="center"/>
            </w:pPr>
            <w:r>
              <w:t xml:space="preserve">metrics by location, including data </w:t>
            </w:r>
            <w:r w:rsidR="005B4C1D">
              <w:t>centres</w:t>
            </w:r>
            <w:r>
              <w:t xml:space="preserve">, and for each location, practices implemented to reduce </w:t>
            </w:r>
            <w:r w:rsidR="005B4C1D">
              <w:t>climate related</w:t>
            </w:r>
            <w:r>
              <w:t xml:space="preserve"> water risk.”</w:t>
            </w:r>
          </w:p>
          <w:p w14:paraId="0F3A70CB" w14:textId="43CB0EE6" w:rsidR="00C81AF1" w:rsidRDefault="00C81AF1" w:rsidP="00C81AF1">
            <w:pPr>
              <w:spacing w:after="0" w:line="240" w:lineRule="auto"/>
              <w:jc w:val="center"/>
            </w:pPr>
          </w:p>
          <w:p w14:paraId="5005DEBB" w14:textId="1763FBE0" w:rsidR="00C81AF1" w:rsidRDefault="00C81AF1" w:rsidP="00C81AF1">
            <w:pPr>
              <w:spacing w:after="0" w:line="240" w:lineRule="auto"/>
              <w:jc w:val="center"/>
            </w:pPr>
            <w:r>
              <w:t xml:space="preserve">Engaging on water risks is an increasingly important topic for BIS, as discussed in our commentary on </w:t>
            </w:r>
            <w:proofErr w:type="gramStart"/>
            <w:r w:rsidR="005B4C1D">
              <w:t>o</w:t>
            </w:r>
            <w:r>
              <w:t>ur</w:t>
            </w:r>
            <w:proofErr w:type="gramEnd"/>
          </w:p>
          <w:p w14:paraId="0C3E949D" w14:textId="77777777" w:rsidR="00C81AF1" w:rsidRDefault="00C81AF1" w:rsidP="00C81AF1">
            <w:pPr>
              <w:spacing w:after="0" w:line="240" w:lineRule="auto"/>
              <w:jc w:val="center"/>
            </w:pPr>
            <w:r>
              <w:t>approach to engagement on natural capital. We appreciate when companies disclose their policies on water,</w:t>
            </w:r>
          </w:p>
          <w:p w14:paraId="57D7F4FE" w14:textId="77777777" w:rsidR="00C81AF1" w:rsidRDefault="00C81AF1" w:rsidP="00C81AF1">
            <w:pPr>
              <w:spacing w:after="0" w:line="240" w:lineRule="auto"/>
              <w:jc w:val="center"/>
            </w:pPr>
            <w:r>
              <w:t>waste, and materials, including their approach to identifying and managing water scarcity and pollution-</w:t>
            </w:r>
            <w:proofErr w:type="gramStart"/>
            <w:r>
              <w:t>related</w:t>
            </w:r>
            <w:proofErr w:type="gramEnd"/>
          </w:p>
          <w:p w14:paraId="12DEA9B0" w14:textId="77777777" w:rsidR="00C81AF1" w:rsidRDefault="00C81AF1" w:rsidP="00C81AF1">
            <w:pPr>
              <w:spacing w:after="0" w:line="240" w:lineRule="auto"/>
              <w:jc w:val="center"/>
            </w:pPr>
            <w:r>
              <w:t>risks, as well as responsible waste disposal and recycling efforts as they relate to fresh water and oceans. In</w:t>
            </w:r>
          </w:p>
          <w:p w14:paraId="0320909E" w14:textId="77777777" w:rsidR="00C81AF1" w:rsidRDefault="00C81AF1" w:rsidP="00C81AF1">
            <w:pPr>
              <w:spacing w:after="0" w:line="240" w:lineRule="auto"/>
              <w:jc w:val="center"/>
            </w:pPr>
            <w:r>
              <w:t>addition, we also find it useful when companies disclose their water stewardship strategy, with a focus on</w:t>
            </w:r>
          </w:p>
          <w:p w14:paraId="1358C269" w14:textId="77777777" w:rsidR="00C81AF1" w:rsidRDefault="00C81AF1" w:rsidP="00C81AF1">
            <w:pPr>
              <w:spacing w:after="0" w:line="240" w:lineRule="auto"/>
              <w:jc w:val="center"/>
            </w:pPr>
            <w:r>
              <w:t>facilitating sustainable water security for their business and for the communities in which they operate.</w:t>
            </w:r>
          </w:p>
          <w:p w14:paraId="4F26F4C9" w14:textId="1560ADD1" w:rsidR="00C81AF1" w:rsidRDefault="00C81AF1" w:rsidP="00C81AF1">
            <w:pPr>
              <w:spacing w:after="0" w:line="240" w:lineRule="auto"/>
              <w:jc w:val="center"/>
            </w:pPr>
            <w:r>
              <w:t xml:space="preserve">BIS believes that water </w:t>
            </w:r>
            <w:r w:rsidR="00004024">
              <w:t>management is</w:t>
            </w:r>
            <w:r>
              <w:t xml:space="preserve"> a material risk for Alphabet given the significant volumes of water </w:t>
            </w:r>
            <w:proofErr w:type="gramStart"/>
            <w:r>
              <w:t>used</w:t>
            </w:r>
            <w:proofErr w:type="gramEnd"/>
          </w:p>
          <w:p w14:paraId="2489AE2B" w14:textId="77777777" w:rsidR="00C81AF1" w:rsidRDefault="00C81AF1" w:rsidP="00C81AF1">
            <w:pPr>
              <w:spacing w:after="0" w:line="240" w:lineRule="auto"/>
              <w:jc w:val="center"/>
            </w:pPr>
            <w:r>
              <w:t xml:space="preserve">to cool data </w:t>
            </w:r>
            <w:proofErr w:type="spellStart"/>
            <w:r>
              <w:t>centers</w:t>
            </w:r>
            <w:proofErr w:type="spellEnd"/>
            <w:r>
              <w:t>.</w:t>
            </w:r>
          </w:p>
          <w:p w14:paraId="3D22D67B" w14:textId="77777777" w:rsidR="00004024" w:rsidRDefault="00004024" w:rsidP="00C81AF1">
            <w:pPr>
              <w:spacing w:after="0" w:line="240" w:lineRule="auto"/>
              <w:jc w:val="center"/>
            </w:pPr>
          </w:p>
          <w:p w14:paraId="50EB77B8" w14:textId="7B35C37B" w:rsidR="00C81AF1" w:rsidRDefault="00C81AF1" w:rsidP="00C81AF1">
            <w:pPr>
              <w:spacing w:after="0" w:line="240" w:lineRule="auto"/>
              <w:jc w:val="center"/>
            </w:pPr>
            <w:r>
              <w:t xml:space="preserve">The company recently enhanced their water metrics disclosure to include three </w:t>
            </w:r>
            <w:proofErr w:type="gramStart"/>
            <w:r>
              <w:t>water</w:t>
            </w:r>
            <w:proofErr w:type="gramEnd"/>
          </w:p>
          <w:p w14:paraId="745CAE59" w14:textId="589934F3" w:rsidR="00C81AF1" w:rsidRDefault="00C81AF1" w:rsidP="00C81AF1">
            <w:pPr>
              <w:spacing w:after="0" w:line="240" w:lineRule="auto"/>
              <w:jc w:val="center"/>
            </w:pPr>
            <w:r>
              <w:t>indicators (total water withdrawal, consumption, and discharge), in line with industry standards. Alphabet has a</w:t>
            </w:r>
          </w:p>
          <w:p w14:paraId="22998ABD" w14:textId="77777777" w:rsidR="00C81AF1" w:rsidRDefault="00C81AF1" w:rsidP="00C81AF1">
            <w:pPr>
              <w:spacing w:after="0" w:line="240" w:lineRule="auto"/>
              <w:jc w:val="center"/>
            </w:pPr>
            <w:r>
              <w:t>goal to replenish more water than the company consumes by 2030 and is focusing water stewardship efforts in</w:t>
            </w:r>
          </w:p>
          <w:p w14:paraId="776C389E" w14:textId="77777777" w:rsidR="00C81AF1" w:rsidRDefault="00C81AF1" w:rsidP="00C81AF1">
            <w:pPr>
              <w:spacing w:after="0" w:line="240" w:lineRule="auto"/>
              <w:jc w:val="center"/>
            </w:pPr>
            <w:r>
              <w:lastRenderedPageBreak/>
              <w:t xml:space="preserve">three main areas: 1) enhancing stewardship of water resources across Google office campuses and </w:t>
            </w:r>
            <w:proofErr w:type="gramStart"/>
            <w:r>
              <w:t>data</w:t>
            </w:r>
            <w:proofErr w:type="gramEnd"/>
          </w:p>
          <w:p w14:paraId="0DC4FBF0" w14:textId="47FB67AF" w:rsidR="00C81AF1" w:rsidRDefault="00004024" w:rsidP="00C81AF1">
            <w:pPr>
              <w:spacing w:after="0" w:line="240" w:lineRule="auto"/>
              <w:jc w:val="center"/>
            </w:pPr>
            <w:proofErr w:type="gramStart"/>
            <w:r>
              <w:t>centres</w:t>
            </w:r>
            <w:r w:rsidR="00C81AF1">
              <w:t>;</w:t>
            </w:r>
            <w:proofErr w:type="gramEnd"/>
            <w:r w:rsidR="00C81AF1">
              <w:t xml:space="preserve"> 2) replenishing 120% of the average amount of water they consume across their offices and data</w:t>
            </w:r>
          </w:p>
          <w:p w14:paraId="5901E773" w14:textId="3FC2E0D5" w:rsidR="00C81AF1" w:rsidRDefault="00004024" w:rsidP="00C81AF1">
            <w:pPr>
              <w:spacing w:after="0" w:line="240" w:lineRule="auto"/>
              <w:jc w:val="center"/>
            </w:pPr>
            <w:r>
              <w:t>centres</w:t>
            </w:r>
            <w:r w:rsidR="00C81AF1">
              <w:t xml:space="preserve">, and improving watershed health and ecosystems in water-stressed communities; </w:t>
            </w:r>
            <w:proofErr w:type="gramStart"/>
            <w:r w:rsidR="00C81AF1">
              <w:t>and,</w:t>
            </w:r>
            <w:proofErr w:type="gramEnd"/>
            <w:r w:rsidR="00C81AF1">
              <w:t xml:space="preserve"> 3) sharing</w:t>
            </w:r>
          </w:p>
          <w:p w14:paraId="391908A2" w14:textId="77777777" w:rsidR="00C81AF1" w:rsidRDefault="00C81AF1" w:rsidP="00C81AF1">
            <w:pPr>
              <w:spacing w:after="0" w:line="240" w:lineRule="auto"/>
              <w:jc w:val="center"/>
            </w:pPr>
            <w:r>
              <w:t>technology and tools that help everyone predict, prevent, and recover from water stress.</w:t>
            </w:r>
          </w:p>
          <w:p w14:paraId="2E96EB6A" w14:textId="77777777" w:rsidR="00004024" w:rsidRDefault="00004024" w:rsidP="00C81AF1">
            <w:pPr>
              <w:spacing w:after="0" w:line="240" w:lineRule="auto"/>
              <w:jc w:val="center"/>
            </w:pPr>
          </w:p>
          <w:p w14:paraId="106D113C" w14:textId="58C79F05" w:rsidR="00C81AF1" w:rsidRDefault="00C81AF1" w:rsidP="00C81AF1">
            <w:pPr>
              <w:spacing w:after="0" w:line="240" w:lineRule="auto"/>
              <w:jc w:val="center"/>
            </w:pPr>
            <w:r>
              <w:t xml:space="preserve">However, the company does not </w:t>
            </w:r>
            <w:r w:rsidR="00004024">
              <w:t>explicitly disclose</w:t>
            </w:r>
            <w:r>
              <w:t xml:space="preserve"> annual water use or other risk metrics by location; therefore,</w:t>
            </w:r>
          </w:p>
          <w:p w14:paraId="433AF13B" w14:textId="4BE687F2" w:rsidR="00C81AF1" w:rsidRDefault="00C81AF1" w:rsidP="00C81AF1">
            <w:pPr>
              <w:spacing w:after="0" w:line="240" w:lineRule="auto"/>
              <w:jc w:val="center"/>
            </w:pPr>
            <w:r>
              <w:t>it is difficult for stakeholders to determine the company’s regional approach, localized water</w:t>
            </w:r>
            <w:r w:rsidR="00553CA8">
              <w:t xml:space="preserve"> </w:t>
            </w:r>
            <w:r>
              <w:t>stress trends and</w:t>
            </w:r>
          </w:p>
          <w:p w14:paraId="4F98773E" w14:textId="77777777" w:rsidR="00553CA8" w:rsidRDefault="00C81AF1" w:rsidP="00553CA8">
            <w:pPr>
              <w:spacing w:after="0" w:line="240" w:lineRule="auto"/>
              <w:jc w:val="center"/>
            </w:pPr>
            <w:r>
              <w:t>risks, as well as possible progress year over year.</w:t>
            </w:r>
            <w:r w:rsidR="00553CA8">
              <w:t xml:space="preserve"> </w:t>
            </w:r>
            <w:r>
              <w:t>Notably, Alphabet’s peers provide this level of information. For</w:t>
            </w:r>
            <w:r w:rsidR="00553CA8">
              <w:t xml:space="preserve"> these reasons, we supported this shareholder proposal as we believe it is in the best economic interests of </w:t>
            </w:r>
            <w:proofErr w:type="gramStart"/>
            <w:r w:rsidR="00553CA8">
              <w:t>our</w:t>
            </w:r>
            <w:proofErr w:type="gramEnd"/>
          </w:p>
          <w:p w14:paraId="571358A1" w14:textId="7FD1BDFE" w:rsidR="00C81AF1" w:rsidRDefault="00553CA8" w:rsidP="00553CA8">
            <w:pPr>
              <w:spacing w:after="0" w:line="240" w:lineRule="auto"/>
              <w:jc w:val="center"/>
            </w:pPr>
            <w:r>
              <w:t>clients for Alphabet to enhance their disclosure on this material long-term business risk.</w:t>
            </w:r>
          </w:p>
          <w:p w14:paraId="54B9DF95" w14:textId="77777777" w:rsidR="000A3F40" w:rsidRDefault="000A3F40" w:rsidP="004B74B1">
            <w:pPr>
              <w:spacing w:after="0" w:line="240" w:lineRule="auto"/>
              <w:jc w:val="center"/>
            </w:pPr>
          </w:p>
          <w:p w14:paraId="4CE28295" w14:textId="77777777" w:rsidR="00031CE0" w:rsidRDefault="00031CE0" w:rsidP="004B74B1">
            <w:pPr>
              <w:spacing w:after="0" w:line="240" w:lineRule="auto"/>
              <w:jc w:val="center"/>
            </w:pPr>
          </w:p>
          <w:p w14:paraId="46C6D7C4" w14:textId="77777777" w:rsidR="00031CE0" w:rsidRDefault="00031CE0" w:rsidP="004B74B1">
            <w:pPr>
              <w:spacing w:after="0" w:line="240" w:lineRule="auto"/>
              <w:jc w:val="center"/>
            </w:pPr>
          </w:p>
          <w:p w14:paraId="06B0344E" w14:textId="77777777" w:rsidR="000A3F40" w:rsidRPr="00AC61FD" w:rsidRDefault="000A3F40" w:rsidP="000A3F40">
            <w:pPr>
              <w:spacing w:after="0" w:line="240" w:lineRule="auto"/>
              <w:jc w:val="center"/>
              <w:rPr>
                <w:i/>
                <w:iCs/>
                <w:u w:val="single"/>
              </w:rPr>
            </w:pPr>
            <w:r w:rsidRPr="00AC61FD">
              <w:rPr>
                <w:i/>
                <w:iCs/>
                <w:u w:val="single"/>
              </w:rPr>
              <w:t>Item 9: Oversee and Report a Third-Party Racial Equity Audit (FOR)</w:t>
            </w:r>
          </w:p>
          <w:p w14:paraId="7820124B" w14:textId="77777777" w:rsidR="000A3F40" w:rsidRDefault="000A3F40" w:rsidP="00EC3FDE">
            <w:pPr>
              <w:spacing w:after="0" w:line="240" w:lineRule="auto"/>
              <w:jc w:val="center"/>
            </w:pPr>
            <w:r>
              <w:t>BIS supported this shareholder proposal because, in our view, shareholders would benefit from a third-party assessment of Alphabet’s diversity, equity and inclusion (DEI) practices.</w:t>
            </w:r>
          </w:p>
          <w:p w14:paraId="7966AD74" w14:textId="77777777" w:rsidR="00F832FD" w:rsidRDefault="00F832FD" w:rsidP="00EC3FDE">
            <w:pPr>
              <w:spacing w:after="0" w:line="240" w:lineRule="auto"/>
              <w:jc w:val="center"/>
            </w:pPr>
          </w:p>
          <w:p w14:paraId="1079EDC6" w14:textId="77777777" w:rsidR="00F832FD" w:rsidRDefault="00F832FD" w:rsidP="00F832FD">
            <w:pPr>
              <w:spacing w:after="0" w:line="240" w:lineRule="auto"/>
              <w:jc w:val="center"/>
            </w:pPr>
            <w:r>
              <w:t xml:space="preserve">The shareholder proposal requested that the Board “commission a third-party, independent racial equity </w:t>
            </w:r>
            <w:proofErr w:type="gramStart"/>
            <w:r>
              <w:t>audit</w:t>
            </w:r>
            <w:proofErr w:type="gramEnd"/>
          </w:p>
          <w:p w14:paraId="30A384B2" w14:textId="77777777" w:rsidR="00F832FD" w:rsidRDefault="00F832FD" w:rsidP="00F832FD">
            <w:pPr>
              <w:spacing w:after="0" w:line="240" w:lineRule="auto"/>
              <w:jc w:val="center"/>
            </w:pPr>
            <w:proofErr w:type="spellStart"/>
            <w:r>
              <w:t>analyzing</w:t>
            </w:r>
            <w:proofErr w:type="spellEnd"/>
            <w:r>
              <w:t xml:space="preserve"> Alphabet Inc.’s adverse impacts on Black, Indigenous and People of </w:t>
            </w:r>
            <w:proofErr w:type="spellStart"/>
            <w:r>
              <w:t>Color</w:t>
            </w:r>
            <w:proofErr w:type="spellEnd"/>
            <w:r>
              <w:t xml:space="preserve"> (BIPOC) communities.</w:t>
            </w:r>
          </w:p>
          <w:p w14:paraId="0C266A3F" w14:textId="77777777" w:rsidR="00F832FD" w:rsidRDefault="00F832FD" w:rsidP="00F832FD">
            <w:pPr>
              <w:spacing w:after="0" w:line="240" w:lineRule="auto"/>
              <w:jc w:val="center"/>
            </w:pPr>
            <w:r>
              <w:t>Input from racial justice and civil rights organizations and employees, temporary vendors, and contractors</w:t>
            </w:r>
          </w:p>
          <w:p w14:paraId="38C6B499" w14:textId="77777777" w:rsidR="00F832FD" w:rsidRDefault="00F832FD" w:rsidP="00F832FD">
            <w:pPr>
              <w:spacing w:after="0" w:line="240" w:lineRule="auto"/>
              <w:jc w:val="center"/>
            </w:pPr>
            <w:r>
              <w:t xml:space="preserve">should be considered in determining specific matters to be </w:t>
            </w:r>
            <w:proofErr w:type="spellStart"/>
            <w:r>
              <w:t>analyzed</w:t>
            </w:r>
            <w:proofErr w:type="spellEnd"/>
            <w:r>
              <w:t>.”</w:t>
            </w:r>
          </w:p>
          <w:p w14:paraId="3A0B36E3" w14:textId="5C490440" w:rsidR="00F832FD" w:rsidRDefault="00F832FD" w:rsidP="00F832FD">
            <w:pPr>
              <w:spacing w:after="0" w:line="240" w:lineRule="auto"/>
              <w:jc w:val="center"/>
            </w:pPr>
          </w:p>
          <w:p w14:paraId="5B456C1E" w14:textId="77777777" w:rsidR="00F832FD" w:rsidRDefault="00F832FD" w:rsidP="00F832FD">
            <w:pPr>
              <w:spacing w:after="0" w:line="240" w:lineRule="auto"/>
              <w:jc w:val="center"/>
            </w:pPr>
            <w:r>
              <w:t>BIS believes that periodic racial equity audits can be beneficial for companies in addressing material risks and</w:t>
            </w:r>
          </w:p>
          <w:p w14:paraId="17C5A16B" w14:textId="0B8C0DE8" w:rsidR="00F832FD" w:rsidRDefault="00F832FD" w:rsidP="00F832FD">
            <w:pPr>
              <w:spacing w:after="0" w:line="240" w:lineRule="auto"/>
              <w:jc w:val="center"/>
            </w:pPr>
            <w:r>
              <w:t>opportunities to enable stakeholders to track the effectiveness of the company’s DEI efforts, and their stated goals, thereby providing insight into the company’s ongoing priorities. As such, we appreciate when companies disclose how they consider the interests of their workforce in business decision-making. In this context, we look to companies to disclose information about their commitment to advancing DEI, including their efforts to recruit, retain, and develop diverse talent, create an inclusive workplace for all workers, support executive training for underrepresented groups, and address any compensation gaps across different workforce demographics.</w:t>
            </w:r>
          </w:p>
          <w:p w14:paraId="32D1DAEE" w14:textId="77777777" w:rsidR="00F832FD" w:rsidRDefault="00F832FD" w:rsidP="00F832FD">
            <w:pPr>
              <w:spacing w:after="0" w:line="240" w:lineRule="auto"/>
              <w:jc w:val="center"/>
            </w:pPr>
          </w:p>
          <w:p w14:paraId="6DB3AC60" w14:textId="1FDBC950" w:rsidR="00F832FD" w:rsidRDefault="00F832FD" w:rsidP="00F832FD">
            <w:pPr>
              <w:spacing w:after="0" w:line="240" w:lineRule="auto"/>
              <w:jc w:val="center"/>
            </w:pPr>
            <w:r>
              <w:t>Alphabet’s current reporting is clear and robust, including their racial equity commitments and internal DEI efforts. As part of their racial equity commitments, Alphabet set a goal to improve leadership representation of</w:t>
            </w:r>
          </w:p>
          <w:p w14:paraId="20E8CFA5" w14:textId="5D402902" w:rsidR="00F832FD" w:rsidRDefault="00F832FD" w:rsidP="00F832FD">
            <w:pPr>
              <w:spacing w:after="0" w:line="240" w:lineRule="auto"/>
              <w:jc w:val="center"/>
            </w:pPr>
            <w:r>
              <w:t>Black+, Latinx+ and Native American+ Googlers in the U.S. by 30% by 2025. In 2020, the Board agreed on a</w:t>
            </w:r>
          </w:p>
          <w:p w14:paraId="1E72AEA8" w14:textId="77777777" w:rsidR="00F832FD" w:rsidRDefault="00F832FD" w:rsidP="00F832FD">
            <w:pPr>
              <w:spacing w:after="0" w:line="240" w:lineRule="auto"/>
              <w:jc w:val="center"/>
            </w:pPr>
            <w:r>
              <w:t>series of industry-leading principles and improvements that incorporated input from both Googlers and</w:t>
            </w:r>
          </w:p>
          <w:p w14:paraId="7D5B171C" w14:textId="42EF800D" w:rsidR="00F832FD" w:rsidRDefault="00F832FD" w:rsidP="00F832FD">
            <w:pPr>
              <w:spacing w:after="0" w:line="240" w:lineRule="auto"/>
              <w:jc w:val="center"/>
            </w:pPr>
            <w:r>
              <w:t>stockholders, including the creation of a DEI Advisory Council comprised of senior executives and external DEI experts. The company also created the positions and appointed a dedicated Head of Civil Rights and a Global</w:t>
            </w:r>
          </w:p>
          <w:p w14:paraId="2A927C38" w14:textId="79103B40" w:rsidR="00F832FD" w:rsidRDefault="00F832FD" w:rsidP="00F832FD">
            <w:pPr>
              <w:spacing w:after="0" w:line="240" w:lineRule="auto"/>
              <w:jc w:val="center"/>
            </w:pPr>
            <w:r>
              <w:t>Head of Human Rights. Also, Google invests $50 million in Historically Black Colleges and Universities (HBCUs)</w:t>
            </w:r>
          </w:p>
          <w:p w14:paraId="50B42B50" w14:textId="5A0D6D44" w:rsidR="00F832FD" w:rsidRDefault="00F832FD" w:rsidP="00F832FD">
            <w:pPr>
              <w:spacing w:after="0" w:line="240" w:lineRule="auto"/>
              <w:jc w:val="center"/>
            </w:pPr>
            <w:r>
              <w:t xml:space="preserve">in the U.S. </w:t>
            </w:r>
            <w:proofErr w:type="gramStart"/>
            <w:r>
              <w:t>in order to</w:t>
            </w:r>
            <w:proofErr w:type="gramEnd"/>
            <w:r>
              <w:t xml:space="preserve"> better address the diversity gap in tech.</w:t>
            </w:r>
          </w:p>
          <w:p w14:paraId="5297B3C8" w14:textId="77777777" w:rsidR="00F832FD" w:rsidRDefault="00F832FD" w:rsidP="00F832FD">
            <w:pPr>
              <w:spacing w:after="0" w:line="240" w:lineRule="auto"/>
              <w:jc w:val="center"/>
            </w:pPr>
          </w:p>
          <w:p w14:paraId="2AEE7408" w14:textId="20D8F106" w:rsidR="00F832FD" w:rsidRDefault="00F832FD" w:rsidP="00F832FD">
            <w:pPr>
              <w:spacing w:after="0" w:line="240" w:lineRule="auto"/>
              <w:jc w:val="center"/>
            </w:pPr>
            <w:r>
              <w:t>While the company has enhanced their work and program development as it relates to DEI, we believe that a</w:t>
            </w:r>
          </w:p>
          <w:p w14:paraId="76AB0A1B" w14:textId="6E0791D0" w:rsidR="00F832FD" w:rsidRPr="00AC61FD" w:rsidRDefault="00F832FD" w:rsidP="00F832FD">
            <w:pPr>
              <w:spacing w:after="0" w:line="240" w:lineRule="auto"/>
              <w:jc w:val="center"/>
            </w:pPr>
            <w:r>
              <w:t>third-party audit would better enable shareholders to assess the effectiveness and outcomes of the company’s stated policies and track progress against their stated goals. As a result, we supported this shareholder proposal.</w:t>
            </w:r>
          </w:p>
        </w:tc>
        <w:tc>
          <w:tcPr>
            <w:tcW w:w="129" w:type="pct"/>
            <w:vAlign w:val="center"/>
            <w:hideMark/>
          </w:tcPr>
          <w:p w14:paraId="1AAFB176"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35723345" w14:textId="77777777" w:rsidTr="00AC61FD">
        <w:trPr>
          <w:trHeight w:val="336"/>
        </w:trPr>
        <w:tc>
          <w:tcPr>
            <w:tcW w:w="58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1234B12" w14:textId="4BAB94D8" w:rsidR="00A43C2E" w:rsidRPr="002632BC" w:rsidRDefault="00DF76AB"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rPr>
              <w:t>Broadcom Inc</w:t>
            </w:r>
          </w:p>
        </w:tc>
        <w:tc>
          <w:tcPr>
            <w:tcW w:w="232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42BF48A" w14:textId="77777777" w:rsidR="00DF76AB" w:rsidRPr="002632BC" w:rsidRDefault="00DF76AB" w:rsidP="00DF76AB">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Item 1: Elections of Compensation Committee members: Harry L. You, Diane M. Bryant,</w:t>
            </w:r>
          </w:p>
          <w:p w14:paraId="65512048" w14:textId="77777777" w:rsidR="00DF76AB" w:rsidRPr="002632BC" w:rsidRDefault="00DF76AB" w:rsidP="00DF76AB">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Eddy W. Hartenstein, Check Kian Low</w:t>
            </w:r>
          </w:p>
          <w:p w14:paraId="7450554D" w14:textId="77777777" w:rsidR="00DF76AB" w:rsidRPr="002632BC" w:rsidRDefault="00DF76AB" w:rsidP="00DF76AB">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 xml:space="preserve">Item 3: Approve an amendment and restatement of the 2012 stock </w:t>
            </w:r>
            <w:proofErr w:type="gramStart"/>
            <w:r w:rsidRPr="002632BC">
              <w:rPr>
                <w:rFonts w:asciiTheme="minorHAnsi" w:hAnsiTheme="minorHAnsi" w:cstheme="minorHAnsi"/>
                <w:b/>
                <w:bCs/>
                <w:color w:val="000000"/>
                <w:lang w:eastAsia="en-GB"/>
              </w:rPr>
              <w:t>plan</w:t>
            </w:r>
            <w:proofErr w:type="gramEnd"/>
          </w:p>
          <w:p w14:paraId="3203CCE1" w14:textId="3BAD4266" w:rsidR="00A43C2E" w:rsidRPr="002632BC" w:rsidRDefault="00DF76AB" w:rsidP="002F79A3">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Item 4: Advisory vote to approve named executive officer compensation</w:t>
            </w:r>
          </w:p>
        </w:tc>
        <w:tc>
          <w:tcPr>
            <w:tcW w:w="1167"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6D79753" w14:textId="4712F54B" w:rsidR="00A43C2E" w:rsidRPr="002632BC" w:rsidRDefault="00DF76AB"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 xml:space="preserve">BlackRock voted FOR Item 3 and AGAINST Items </w:t>
            </w:r>
            <w:r w:rsidR="00AC1493" w:rsidRPr="002632BC">
              <w:rPr>
                <w:rFonts w:asciiTheme="minorHAnsi" w:hAnsiTheme="minorHAnsi" w:cstheme="minorHAnsi"/>
                <w:b/>
                <w:bCs/>
                <w:color w:val="000000"/>
                <w:lang w:eastAsia="en-GB"/>
              </w:rPr>
              <w:t>1</w:t>
            </w:r>
            <w:r w:rsidRPr="002632BC">
              <w:rPr>
                <w:rFonts w:asciiTheme="minorHAnsi" w:hAnsiTheme="minorHAnsi" w:cstheme="minorHAnsi"/>
                <w:b/>
                <w:bCs/>
                <w:color w:val="000000"/>
                <w:lang w:eastAsia="en-GB"/>
              </w:rPr>
              <w:t xml:space="preserve"> and 4</w:t>
            </w:r>
            <w:r w:rsidRPr="002632BC">
              <w:rPr>
                <w:rFonts w:asciiTheme="minorHAnsi" w:hAnsiTheme="minorHAnsi" w:cstheme="minorHAnsi"/>
                <w:b/>
                <w:bCs/>
                <w:color w:val="000000"/>
                <w:lang w:eastAsia="en-GB"/>
              </w:rPr>
              <w:cr/>
              <w:t xml:space="preserve"> (</w:t>
            </w:r>
            <w:proofErr w:type="gramStart"/>
            <w:r w:rsidRPr="002632BC">
              <w:rPr>
                <w:rFonts w:asciiTheme="minorHAnsi" w:hAnsiTheme="minorHAnsi" w:cstheme="minorHAnsi"/>
                <w:b/>
                <w:bCs/>
                <w:color w:val="000000"/>
                <w:lang w:eastAsia="en-GB"/>
              </w:rPr>
              <w:t>in</w:t>
            </w:r>
            <w:proofErr w:type="gramEnd"/>
            <w:r w:rsidRPr="002632BC">
              <w:rPr>
                <w:rFonts w:asciiTheme="minorHAnsi" w:hAnsiTheme="minorHAnsi" w:cstheme="minorHAnsi"/>
                <w:b/>
                <w:bCs/>
                <w:color w:val="000000"/>
                <w:lang w:eastAsia="en-GB"/>
              </w:rPr>
              <w:t xml:space="preserve"> line with Board recommendation for Item 3, but against Board recommendation for Item </w:t>
            </w:r>
            <w:r w:rsidR="00321D85" w:rsidRPr="002632BC">
              <w:rPr>
                <w:rFonts w:asciiTheme="minorHAnsi" w:hAnsiTheme="minorHAnsi" w:cstheme="minorHAnsi"/>
                <w:b/>
                <w:bCs/>
                <w:color w:val="000000"/>
                <w:lang w:eastAsia="en-GB"/>
              </w:rPr>
              <w:t>1</w:t>
            </w:r>
            <w:r w:rsidRPr="002632BC">
              <w:rPr>
                <w:rFonts w:asciiTheme="minorHAnsi" w:hAnsiTheme="minorHAnsi" w:cstheme="minorHAnsi"/>
                <w:b/>
                <w:bCs/>
                <w:color w:val="000000"/>
                <w:lang w:eastAsia="en-GB"/>
              </w:rPr>
              <w:t xml:space="preserve"> and Item 4)</w:t>
            </w:r>
          </w:p>
        </w:tc>
        <w:tc>
          <w:tcPr>
            <w:tcW w:w="7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7D51ED9" w14:textId="0A3FEF5E" w:rsidR="00A43C2E" w:rsidRPr="002632BC" w:rsidRDefault="00EF09A8"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Not provided</w:t>
            </w:r>
          </w:p>
        </w:tc>
        <w:tc>
          <w:tcPr>
            <w:tcW w:w="129" w:type="pct"/>
            <w:vAlign w:val="center"/>
            <w:hideMark/>
          </w:tcPr>
          <w:p w14:paraId="360D408D"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26260D06" w14:textId="77777777" w:rsidTr="00AC61FD">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tcPr>
          <w:p w14:paraId="7925B3EE"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3674B7CF"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36BC4DE7"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71055841"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75179E6F" w14:textId="77777777" w:rsidR="00A43C2E" w:rsidRPr="002F79A3" w:rsidRDefault="00A43C2E" w:rsidP="00A43C2E">
            <w:pPr>
              <w:spacing w:after="0" w:line="240" w:lineRule="auto"/>
              <w:jc w:val="center"/>
              <w:rPr>
                <w:rFonts w:asciiTheme="minorHAnsi" w:hAnsiTheme="minorHAnsi" w:cstheme="minorHAnsi"/>
                <w:color w:val="000000"/>
                <w:sz w:val="18"/>
                <w:szCs w:val="18"/>
                <w:lang w:eastAsia="en-GB"/>
              </w:rPr>
            </w:pPr>
          </w:p>
        </w:tc>
      </w:tr>
      <w:tr w:rsidR="00A43C2E" w:rsidRPr="002F79A3" w14:paraId="6FDDD99A" w14:textId="77777777" w:rsidTr="00AC61FD">
        <w:trPr>
          <w:trHeight w:val="1095"/>
        </w:trPr>
        <w:tc>
          <w:tcPr>
            <w:tcW w:w="589" w:type="pct"/>
            <w:vMerge/>
            <w:tcBorders>
              <w:top w:val="single" w:sz="4" w:space="0" w:color="auto"/>
              <w:left w:val="single" w:sz="4" w:space="0" w:color="auto"/>
              <w:bottom w:val="single" w:sz="4" w:space="0" w:color="000000"/>
              <w:right w:val="single" w:sz="4" w:space="0" w:color="000000"/>
            </w:tcBorders>
            <w:vAlign w:val="center"/>
          </w:tcPr>
          <w:p w14:paraId="1CCE6D08"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36399B2E"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5B03144B"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202E6042"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2E2F83BE"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35B158CA" w14:textId="77777777" w:rsidTr="00AC61FD">
        <w:trPr>
          <w:trHeight w:val="573"/>
        </w:trPr>
        <w:tc>
          <w:tcPr>
            <w:tcW w:w="4871"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48E8382" w14:textId="77777777" w:rsidR="00DF76AB" w:rsidRPr="00AC61FD" w:rsidRDefault="00DF76AB" w:rsidP="002F79A3">
            <w:pPr>
              <w:spacing w:after="0" w:line="240" w:lineRule="auto"/>
              <w:jc w:val="center"/>
              <w:rPr>
                <w:i/>
                <w:iCs/>
                <w:u w:val="single"/>
              </w:rPr>
            </w:pPr>
            <w:r w:rsidRPr="00AC61FD">
              <w:rPr>
                <w:i/>
                <w:iCs/>
                <w:u w:val="single"/>
              </w:rPr>
              <w:lastRenderedPageBreak/>
              <w:t>Item 1: Elections of compensation committee members: Harry L. You, Diane M. Bryant, Eddy W. Hartenstein, Check Kian Low (AGAINST) Item 4: Advisory vote to approve named executive officer compensation (AGAINST)</w:t>
            </w:r>
          </w:p>
          <w:p w14:paraId="64858603" w14:textId="5116AB6D" w:rsidR="00DF76AB" w:rsidRDefault="00DF76AB" w:rsidP="002F79A3">
            <w:pPr>
              <w:spacing w:after="0" w:line="240" w:lineRule="auto"/>
              <w:jc w:val="center"/>
            </w:pPr>
            <w:r>
              <w:t>BIS did not support Broadcom's say-on-pay proposal which sought approval of pay policies that we did not consider to be aligned with the interests of long-term shareholders. As a result, we also determined not to support the re-election of the members of the Compensation Committee.</w:t>
            </w:r>
          </w:p>
          <w:p w14:paraId="7F27BBA5" w14:textId="77777777" w:rsidR="00DF76AB" w:rsidRDefault="00DF76AB" w:rsidP="002F79A3">
            <w:pPr>
              <w:spacing w:after="0" w:line="240" w:lineRule="auto"/>
              <w:jc w:val="center"/>
            </w:pPr>
          </w:p>
          <w:p w14:paraId="1B078EBE" w14:textId="77777777" w:rsidR="00DF76AB" w:rsidRPr="00AC61FD" w:rsidRDefault="00DF76AB" w:rsidP="00DF76AB">
            <w:pPr>
              <w:spacing w:after="0" w:line="240" w:lineRule="auto"/>
              <w:jc w:val="center"/>
              <w:rPr>
                <w:i/>
                <w:iCs/>
                <w:u w:val="single"/>
              </w:rPr>
            </w:pPr>
            <w:r w:rsidRPr="00AC61FD">
              <w:rPr>
                <w:i/>
                <w:iCs/>
                <w:u w:val="single"/>
              </w:rPr>
              <w:t>Item 3: Approve an amendment and restatement of the 2012 stock plan (FOR)</w:t>
            </w:r>
          </w:p>
          <w:p w14:paraId="0BFBCE7E" w14:textId="77777777" w:rsidR="00DF76AB" w:rsidRPr="00AC61FD" w:rsidRDefault="00DF76AB" w:rsidP="00DF76AB">
            <w:pPr>
              <w:spacing w:after="0" w:line="240" w:lineRule="auto"/>
              <w:jc w:val="center"/>
            </w:pPr>
            <w:r w:rsidRPr="00AC61FD">
              <w:t xml:space="preserve">We voted in support of the omnibus stock plan proposal in recognition of the company’s use of equity </w:t>
            </w:r>
            <w:proofErr w:type="gramStart"/>
            <w:r w:rsidRPr="00AC61FD">
              <w:t>plans</w:t>
            </w:r>
            <w:proofErr w:type="gramEnd"/>
          </w:p>
          <w:p w14:paraId="2CF1D106" w14:textId="34B402E0" w:rsidR="00A43C2E" w:rsidRPr="00AC61FD" w:rsidRDefault="00DF76AB" w:rsidP="000A3F40">
            <w:pPr>
              <w:spacing w:after="0" w:line="240" w:lineRule="auto"/>
              <w:jc w:val="center"/>
            </w:pPr>
            <w:r w:rsidRPr="00AC61FD">
              <w:t>to incentivize employees beyond the executive leadership team.</w:t>
            </w:r>
          </w:p>
        </w:tc>
        <w:tc>
          <w:tcPr>
            <w:tcW w:w="129" w:type="pct"/>
            <w:vAlign w:val="center"/>
            <w:hideMark/>
          </w:tcPr>
          <w:p w14:paraId="53EC9232"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23EBB7D4" w14:textId="77777777" w:rsidTr="008617B1">
        <w:trPr>
          <w:trHeight w:val="2259"/>
        </w:trPr>
        <w:tc>
          <w:tcPr>
            <w:tcW w:w="58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6FA801F1" w14:textId="2383E214" w:rsidR="00A43C2E" w:rsidRPr="002632BC" w:rsidRDefault="000A3F40"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rPr>
              <w:t>Shell plc</w:t>
            </w:r>
          </w:p>
        </w:tc>
        <w:tc>
          <w:tcPr>
            <w:tcW w:w="2329"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5E59535" w14:textId="77777777" w:rsidR="000A3F40" w:rsidRPr="002632BC" w:rsidRDefault="000A3F40" w:rsidP="000A3F40">
            <w:pPr>
              <w:spacing w:after="0" w:line="240" w:lineRule="auto"/>
              <w:jc w:val="center"/>
              <w:rPr>
                <w:rFonts w:asciiTheme="minorHAnsi" w:hAnsiTheme="minorHAnsi" w:cstheme="minorHAnsi"/>
                <w:b/>
                <w:bCs/>
              </w:rPr>
            </w:pPr>
            <w:r w:rsidRPr="002632BC">
              <w:rPr>
                <w:rFonts w:asciiTheme="minorHAnsi" w:hAnsiTheme="minorHAnsi" w:cstheme="minorHAnsi"/>
                <w:b/>
                <w:bCs/>
              </w:rPr>
              <w:t>Management proposal(s):</w:t>
            </w:r>
          </w:p>
          <w:p w14:paraId="6399F742" w14:textId="77777777" w:rsidR="000A3F40" w:rsidRPr="002632BC" w:rsidRDefault="000A3F40" w:rsidP="000A3F40">
            <w:pPr>
              <w:spacing w:after="0" w:line="240" w:lineRule="auto"/>
              <w:jc w:val="center"/>
              <w:rPr>
                <w:rFonts w:asciiTheme="minorHAnsi" w:hAnsiTheme="minorHAnsi" w:cstheme="minorHAnsi"/>
                <w:b/>
                <w:bCs/>
              </w:rPr>
            </w:pPr>
            <w:r w:rsidRPr="002632BC">
              <w:rPr>
                <w:rFonts w:asciiTheme="minorHAnsi" w:hAnsiTheme="minorHAnsi" w:cstheme="minorHAnsi"/>
                <w:b/>
                <w:bCs/>
              </w:rPr>
              <w:t>Item 25: Approve the Shell Energy Transition Progress</w:t>
            </w:r>
          </w:p>
          <w:p w14:paraId="0117DDE7" w14:textId="77777777" w:rsidR="000A3F40" w:rsidRPr="002632BC" w:rsidRDefault="000A3F40" w:rsidP="000A3F40">
            <w:pPr>
              <w:spacing w:after="0" w:line="240" w:lineRule="auto"/>
              <w:jc w:val="center"/>
              <w:rPr>
                <w:rFonts w:asciiTheme="minorHAnsi" w:hAnsiTheme="minorHAnsi" w:cstheme="minorHAnsi"/>
                <w:b/>
                <w:bCs/>
              </w:rPr>
            </w:pPr>
          </w:p>
          <w:p w14:paraId="24AF8A20" w14:textId="77777777" w:rsidR="000A3F40" w:rsidRPr="002632BC" w:rsidRDefault="000A3F40" w:rsidP="000A3F40">
            <w:pPr>
              <w:spacing w:after="0" w:line="240" w:lineRule="auto"/>
              <w:jc w:val="center"/>
              <w:rPr>
                <w:rFonts w:asciiTheme="minorHAnsi" w:hAnsiTheme="minorHAnsi" w:cstheme="minorHAnsi"/>
                <w:b/>
                <w:bCs/>
              </w:rPr>
            </w:pPr>
            <w:r w:rsidRPr="002632BC">
              <w:rPr>
                <w:rFonts w:asciiTheme="minorHAnsi" w:hAnsiTheme="minorHAnsi" w:cstheme="minorHAnsi"/>
                <w:b/>
                <w:bCs/>
              </w:rPr>
              <w:t>Shareholder proposal(s):</w:t>
            </w:r>
          </w:p>
          <w:p w14:paraId="1B5F5C1C" w14:textId="23AC5B51" w:rsidR="00C558E9" w:rsidRPr="002632BC" w:rsidRDefault="000A3F40" w:rsidP="000A3F40">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rPr>
              <w:t>Item 26: Request Shell to Align its Existing 2030 Reduction Target Covering the Greenhouse Gas (GHG) Emissions of the Use of its Energy Products (Scope 3) with the Goal of the Paris Climate Agreement</w:t>
            </w:r>
          </w:p>
        </w:tc>
        <w:tc>
          <w:tcPr>
            <w:tcW w:w="1167"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45D64D5" w14:textId="2E29F04A" w:rsidR="00A43C2E" w:rsidRPr="002632BC" w:rsidRDefault="000A3F40" w:rsidP="002F79A3">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 xml:space="preserve">BlackRock voted FOR Item 25 and AGAINST Item 26 </w:t>
            </w:r>
            <w:r w:rsidR="00321D85" w:rsidRPr="002632BC">
              <w:rPr>
                <w:rFonts w:asciiTheme="minorHAnsi" w:hAnsiTheme="minorHAnsi" w:cstheme="minorHAnsi"/>
                <w:b/>
                <w:bCs/>
                <w:color w:val="000000"/>
                <w:lang w:eastAsia="en-GB"/>
              </w:rPr>
              <w:t>(</w:t>
            </w:r>
            <w:r w:rsidRPr="002632BC">
              <w:rPr>
                <w:rFonts w:asciiTheme="minorHAnsi" w:hAnsiTheme="minorHAnsi" w:cstheme="minorHAnsi"/>
                <w:b/>
                <w:bCs/>
                <w:color w:val="000000"/>
                <w:lang w:eastAsia="en-GB"/>
              </w:rPr>
              <w:t>in line with</w:t>
            </w:r>
            <w:r w:rsidR="00321D85" w:rsidRPr="002632BC">
              <w:rPr>
                <w:rFonts w:asciiTheme="minorHAnsi" w:hAnsiTheme="minorHAnsi" w:cstheme="minorHAnsi"/>
                <w:b/>
                <w:bCs/>
                <w:color w:val="000000"/>
                <w:lang w:eastAsia="en-GB"/>
              </w:rPr>
              <w:t xml:space="preserve"> Board recommendation)</w:t>
            </w:r>
          </w:p>
        </w:tc>
        <w:tc>
          <w:tcPr>
            <w:tcW w:w="786" w:type="pct"/>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DF1FDDE" w14:textId="17502649" w:rsidR="00A43C2E" w:rsidRPr="002632BC" w:rsidRDefault="00AA084F" w:rsidP="00A43C2E">
            <w:pPr>
              <w:spacing w:after="0" w:line="240" w:lineRule="auto"/>
              <w:jc w:val="center"/>
              <w:rPr>
                <w:rFonts w:asciiTheme="minorHAnsi" w:hAnsiTheme="minorHAnsi" w:cstheme="minorHAnsi"/>
                <w:b/>
                <w:bCs/>
                <w:color w:val="000000"/>
                <w:lang w:eastAsia="en-GB"/>
              </w:rPr>
            </w:pPr>
            <w:r w:rsidRPr="002632BC">
              <w:rPr>
                <w:rFonts w:asciiTheme="minorHAnsi" w:hAnsiTheme="minorHAnsi" w:cstheme="minorHAnsi"/>
                <w:b/>
                <w:bCs/>
                <w:color w:val="000000"/>
                <w:lang w:eastAsia="en-GB"/>
              </w:rPr>
              <w:t>Not provided</w:t>
            </w:r>
          </w:p>
        </w:tc>
        <w:tc>
          <w:tcPr>
            <w:tcW w:w="129" w:type="pct"/>
            <w:vAlign w:val="center"/>
            <w:hideMark/>
          </w:tcPr>
          <w:p w14:paraId="47A51A38"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33ACFC97" w14:textId="77777777" w:rsidTr="008617B1">
        <w:trPr>
          <w:trHeight w:val="336"/>
        </w:trPr>
        <w:tc>
          <w:tcPr>
            <w:tcW w:w="589" w:type="pct"/>
            <w:vMerge/>
            <w:tcBorders>
              <w:top w:val="single" w:sz="4" w:space="0" w:color="auto"/>
              <w:left w:val="single" w:sz="4" w:space="0" w:color="auto"/>
              <w:bottom w:val="single" w:sz="4" w:space="0" w:color="000000"/>
              <w:right w:val="single" w:sz="4" w:space="0" w:color="000000"/>
            </w:tcBorders>
            <w:vAlign w:val="center"/>
          </w:tcPr>
          <w:p w14:paraId="24F7FF8F"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5913C59F"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66915933"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7117DDB4"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3BA13CF9"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r>
      <w:tr w:rsidR="00A43C2E" w:rsidRPr="002F79A3" w14:paraId="281FE2A5" w14:textId="77777777" w:rsidTr="00AC61FD">
        <w:trPr>
          <w:trHeight w:val="60"/>
        </w:trPr>
        <w:tc>
          <w:tcPr>
            <w:tcW w:w="589" w:type="pct"/>
            <w:vMerge/>
            <w:tcBorders>
              <w:top w:val="single" w:sz="4" w:space="0" w:color="auto"/>
              <w:left w:val="single" w:sz="4" w:space="0" w:color="auto"/>
              <w:bottom w:val="single" w:sz="4" w:space="0" w:color="000000"/>
              <w:right w:val="single" w:sz="4" w:space="0" w:color="000000"/>
            </w:tcBorders>
            <w:vAlign w:val="center"/>
          </w:tcPr>
          <w:p w14:paraId="0E63086C"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2329" w:type="pct"/>
            <w:vMerge/>
            <w:tcBorders>
              <w:top w:val="single" w:sz="4" w:space="0" w:color="auto"/>
              <w:left w:val="single" w:sz="4" w:space="0" w:color="auto"/>
              <w:bottom w:val="single" w:sz="4" w:space="0" w:color="000000"/>
              <w:right w:val="single" w:sz="4" w:space="0" w:color="000000"/>
            </w:tcBorders>
            <w:vAlign w:val="center"/>
          </w:tcPr>
          <w:p w14:paraId="0846C95D"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167" w:type="pct"/>
            <w:vMerge/>
            <w:tcBorders>
              <w:top w:val="single" w:sz="4" w:space="0" w:color="auto"/>
              <w:left w:val="single" w:sz="4" w:space="0" w:color="auto"/>
              <w:bottom w:val="single" w:sz="4" w:space="0" w:color="000000"/>
              <w:right w:val="single" w:sz="4" w:space="0" w:color="000000"/>
            </w:tcBorders>
            <w:vAlign w:val="center"/>
          </w:tcPr>
          <w:p w14:paraId="1EA7BC1F"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786" w:type="pct"/>
            <w:vMerge/>
            <w:tcBorders>
              <w:top w:val="single" w:sz="4" w:space="0" w:color="auto"/>
              <w:left w:val="single" w:sz="4" w:space="0" w:color="auto"/>
              <w:bottom w:val="single" w:sz="4" w:space="0" w:color="000000"/>
              <w:right w:val="single" w:sz="4" w:space="0" w:color="000000"/>
            </w:tcBorders>
            <w:vAlign w:val="center"/>
          </w:tcPr>
          <w:p w14:paraId="23E8A1BE" w14:textId="77777777" w:rsidR="00A43C2E" w:rsidRPr="002F79A3" w:rsidRDefault="00A43C2E" w:rsidP="00A43C2E">
            <w:pPr>
              <w:spacing w:after="0" w:line="240" w:lineRule="auto"/>
              <w:rPr>
                <w:rFonts w:asciiTheme="minorHAnsi" w:hAnsiTheme="minorHAnsi" w:cstheme="minorHAnsi"/>
                <w:color w:val="000000"/>
                <w:sz w:val="18"/>
                <w:szCs w:val="18"/>
                <w:lang w:eastAsia="en-GB"/>
              </w:rPr>
            </w:pPr>
          </w:p>
        </w:tc>
        <w:tc>
          <w:tcPr>
            <w:tcW w:w="129" w:type="pct"/>
            <w:tcBorders>
              <w:top w:val="nil"/>
              <w:left w:val="nil"/>
              <w:bottom w:val="nil"/>
              <w:right w:val="nil"/>
            </w:tcBorders>
            <w:shd w:val="clear" w:color="auto" w:fill="auto"/>
            <w:noWrap/>
            <w:vAlign w:val="bottom"/>
            <w:hideMark/>
          </w:tcPr>
          <w:p w14:paraId="2E91BD82" w14:textId="77777777" w:rsidR="00A43C2E" w:rsidRPr="002F79A3" w:rsidRDefault="00A43C2E" w:rsidP="00A43C2E">
            <w:pPr>
              <w:spacing w:after="0" w:line="240" w:lineRule="auto"/>
              <w:rPr>
                <w:rFonts w:asciiTheme="minorHAnsi" w:hAnsiTheme="minorHAnsi" w:cstheme="minorHAnsi"/>
                <w:sz w:val="18"/>
                <w:szCs w:val="18"/>
                <w:lang w:eastAsia="en-GB"/>
              </w:rPr>
            </w:pPr>
          </w:p>
        </w:tc>
      </w:tr>
      <w:tr w:rsidR="00A43C2E" w:rsidRPr="002F79A3" w14:paraId="1A32CFB9" w14:textId="77777777" w:rsidTr="00AC61FD">
        <w:trPr>
          <w:trHeight w:val="942"/>
        </w:trPr>
        <w:tc>
          <w:tcPr>
            <w:tcW w:w="4871" w:type="pct"/>
            <w:gridSpan w:val="4"/>
            <w:tcBorders>
              <w:top w:val="single" w:sz="4" w:space="0" w:color="auto"/>
              <w:left w:val="single" w:sz="4" w:space="0" w:color="auto"/>
              <w:bottom w:val="single" w:sz="4" w:space="0" w:color="auto"/>
              <w:right w:val="single" w:sz="4" w:space="0" w:color="000000"/>
            </w:tcBorders>
            <w:shd w:val="clear" w:color="auto" w:fill="auto"/>
          </w:tcPr>
          <w:p w14:paraId="29239463" w14:textId="77777777" w:rsidR="000A3F40" w:rsidRPr="00AC61FD" w:rsidRDefault="000A3F40" w:rsidP="000A3F40">
            <w:pPr>
              <w:spacing w:after="0" w:line="240" w:lineRule="auto"/>
              <w:jc w:val="center"/>
              <w:rPr>
                <w:i/>
                <w:iCs/>
                <w:u w:val="single"/>
              </w:rPr>
            </w:pPr>
            <w:r w:rsidRPr="00AC61FD">
              <w:rPr>
                <w:i/>
                <w:iCs/>
                <w:u w:val="single"/>
              </w:rPr>
              <w:t>Item 25: Approve the Shell Energy Transition Progress (FOR)</w:t>
            </w:r>
          </w:p>
          <w:p w14:paraId="1321D185" w14:textId="0933EE9A" w:rsidR="000A3F40" w:rsidRDefault="000A3F40" w:rsidP="000A3F40">
            <w:pPr>
              <w:spacing w:after="0" w:line="240" w:lineRule="auto"/>
              <w:jc w:val="center"/>
            </w:pPr>
            <w:r>
              <w:t xml:space="preserve">BIS supported this management proposal in recognition of the delivery to date against the company’s Energy </w:t>
            </w:r>
            <w:r w:rsidR="00F87BA7">
              <w:t>T</w:t>
            </w:r>
            <w:r>
              <w:t xml:space="preserve">ransition Strategy. </w:t>
            </w:r>
          </w:p>
          <w:p w14:paraId="2855448A" w14:textId="6A333D9E" w:rsidR="00D9523F" w:rsidRDefault="00D9523F" w:rsidP="000A3F40">
            <w:pPr>
              <w:spacing w:after="0" w:line="240" w:lineRule="auto"/>
              <w:jc w:val="center"/>
            </w:pPr>
          </w:p>
          <w:p w14:paraId="0EFCDA37" w14:textId="77777777" w:rsidR="00D9523F" w:rsidRDefault="00D9523F" w:rsidP="00D9523F">
            <w:pPr>
              <w:spacing w:after="0" w:line="240" w:lineRule="auto"/>
              <w:jc w:val="center"/>
            </w:pPr>
            <w:r>
              <w:t>Shell’s current disclosure states that the company aims to reduce their scope 1 and 2 greenhouse gas (GHG)</w:t>
            </w:r>
          </w:p>
          <w:p w14:paraId="61A51B9F" w14:textId="69D392C9" w:rsidR="00D9523F" w:rsidRDefault="00D9523F" w:rsidP="00D9523F">
            <w:pPr>
              <w:spacing w:after="0" w:line="240" w:lineRule="auto"/>
              <w:jc w:val="center"/>
            </w:pPr>
            <w:r>
              <w:t>emissions by 50% by 2030 compared to 2016 levels on a net basis. By 2022, operational emissions had been</w:t>
            </w:r>
            <w:r w:rsidR="00293E19">
              <w:t xml:space="preserve"> </w:t>
            </w:r>
            <w:r>
              <w:t>reduced by 30%. In addition, in the past year, Shell has continued to deliver against their target to increase</w:t>
            </w:r>
            <w:r w:rsidR="00293E19">
              <w:t xml:space="preserve"> </w:t>
            </w:r>
            <w:r>
              <w:t>total capex spending on low- and zero-carbon energy. Last year, Shell spent $3.5 billion of cash capital</w:t>
            </w:r>
            <w:r w:rsidR="00293E19">
              <w:t xml:space="preserve"> </w:t>
            </w:r>
            <w:r>
              <w:t>expenditure on renewables and energy solutions, of which $2.9 billion was on low carbon energy solutions, up</w:t>
            </w:r>
            <w:r w:rsidR="00293E19">
              <w:t xml:space="preserve"> </w:t>
            </w:r>
            <w:r>
              <w:t>from $2.4 billion spent on renewables and energy solutions in 2021, within which $1.8 billion was spent on low</w:t>
            </w:r>
            <w:r w:rsidR="00293E19">
              <w:t xml:space="preserve"> </w:t>
            </w:r>
            <w:r>
              <w:t xml:space="preserve">carbon energy solutions. Shell also acquired </w:t>
            </w:r>
            <w:proofErr w:type="spellStart"/>
            <w:r>
              <w:t>Sprng</w:t>
            </w:r>
            <w:proofErr w:type="spellEnd"/>
            <w:r>
              <w:t xml:space="preserve"> Energy, one of India’s leading renewable power platforms,</w:t>
            </w:r>
            <w:r w:rsidR="00293E19">
              <w:t xml:space="preserve"> </w:t>
            </w:r>
            <w:r>
              <w:t>and has agreed to acquire Nature Energy, the largest producer of renewable natural gas in Europe, representing</w:t>
            </w:r>
            <w:r w:rsidR="00293E19">
              <w:t xml:space="preserve"> </w:t>
            </w:r>
            <w:r>
              <w:t>an investment of around $3.5 billion in new businesses to support their objective to deliver on Shell's Powering</w:t>
            </w:r>
            <w:r w:rsidR="00293E19">
              <w:t xml:space="preserve"> </w:t>
            </w:r>
            <w:r>
              <w:t>Progress strategy. This will increase the company’s renewables capacity in operation and enable the company</w:t>
            </w:r>
            <w:r w:rsidR="00293E19">
              <w:t xml:space="preserve"> </w:t>
            </w:r>
            <w:r>
              <w:t>to develop low- and zero-carbon alternatives to traditional fuels.</w:t>
            </w:r>
          </w:p>
          <w:p w14:paraId="16217C74" w14:textId="7D25D1F5" w:rsidR="00D9523F" w:rsidRDefault="00D9523F" w:rsidP="00D9523F">
            <w:pPr>
              <w:spacing w:after="0" w:line="240" w:lineRule="auto"/>
              <w:jc w:val="center"/>
            </w:pPr>
          </w:p>
          <w:p w14:paraId="4ACFCE49" w14:textId="2359C10E" w:rsidR="00D9523F" w:rsidRDefault="00D9523F" w:rsidP="00D9523F">
            <w:pPr>
              <w:spacing w:after="0" w:line="240" w:lineRule="auto"/>
              <w:jc w:val="center"/>
            </w:pPr>
            <w:r>
              <w:t>Overall, Shell has and continues to provide a clear assessment of their plans to manage climate-related risks</w:t>
            </w:r>
            <w:r w:rsidR="00293E19">
              <w:t xml:space="preserve"> </w:t>
            </w:r>
            <w:r>
              <w:t>and opportunities and has demonstrated continued delivery against their Energy Transition Strategy. Given that</w:t>
            </w:r>
            <w:r w:rsidR="00293E19">
              <w:t xml:space="preserve"> </w:t>
            </w:r>
            <w:r>
              <w:t>the speed and shape of a low carbon transition are unclear, company disclosures that include scenario analysis</w:t>
            </w:r>
            <w:r w:rsidR="00293E19">
              <w:t xml:space="preserve"> </w:t>
            </w:r>
            <w:r>
              <w:t>and provide context on the transition plan and targets, help investors’ understanding of company-specific risks</w:t>
            </w:r>
            <w:r w:rsidR="00293E19">
              <w:t xml:space="preserve"> </w:t>
            </w:r>
            <w:r>
              <w:t>and opportunities. In our view, Shell’s reporting and approach are aligned with our clients’ long-term financial</w:t>
            </w:r>
            <w:r w:rsidR="00293E19">
              <w:t xml:space="preserve"> </w:t>
            </w:r>
            <w:r>
              <w:t>interests; therefore, we supported the management resolution.</w:t>
            </w:r>
          </w:p>
          <w:p w14:paraId="6BCACDB9" w14:textId="77777777" w:rsidR="000A3F40" w:rsidRPr="00AC61FD" w:rsidRDefault="000A3F40" w:rsidP="000A3F40">
            <w:pPr>
              <w:spacing w:after="0" w:line="240" w:lineRule="auto"/>
              <w:jc w:val="center"/>
              <w:rPr>
                <w:i/>
                <w:iCs/>
              </w:rPr>
            </w:pPr>
          </w:p>
          <w:p w14:paraId="51794DB8" w14:textId="2C2B7683" w:rsidR="00F87BA7" w:rsidRPr="00AC61FD" w:rsidRDefault="00F87BA7" w:rsidP="00F87BA7">
            <w:pPr>
              <w:spacing w:after="0" w:line="240" w:lineRule="auto"/>
              <w:jc w:val="center"/>
              <w:rPr>
                <w:i/>
                <w:iCs/>
                <w:u w:val="single"/>
              </w:rPr>
            </w:pPr>
            <w:r w:rsidRPr="00AC61FD">
              <w:rPr>
                <w:i/>
                <w:iCs/>
                <w:u w:val="single"/>
              </w:rPr>
              <w:t>Item 26: Request Shell to Align its Existing 2030 Reduction Target Covering the Greenhouse Gas (GHG) Emissions of the Use of its Energy Products (Scope 3) with the Goal of the Paris Climate Agreement (AGAINST)</w:t>
            </w:r>
          </w:p>
          <w:p w14:paraId="1E1225E0" w14:textId="630F2311" w:rsidR="000A3F40" w:rsidRPr="00AC61FD" w:rsidRDefault="00F87BA7" w:rsidP="00F87BA7">
            <w:pPr>
              <w:spacing w:after="0" w:line="240" w:lineRule="auto"/>
              <w:jc w:val="center"/>
            </w:pPr>
            <w:r w:rsidRPr="00AC61FD">
              <w:t>BIS did not support this shareholder proposal because in our view, it was overly prescriptive and unduly</w:t>
            </w:r>
            <w:r>
              <w:t xml:space="preserve"> </w:t>
            </w:r>
            <w:r w:rsidRPr="00AC61FD">
              <w:t>constraining on management’s decision making.</w:t>
            </w:r>
          </w:p>
          <w:p w14:paraId="79666158" w14:textId="77777777" w:rsidR="00A43C2E" w:rsidRDefault="00A43C2E" w:rsidP="002F79A3">
            <w:pPr>
              <w:spacing w:after="0" w:line="240" w:lineRule="auto"/>
              <w:jc w:val="center"/>
              <w:rPr>
                <w:rFonts w:asciiTheme="minorHAnsi" w:hAnsiTheme="minorHAnsi" w:cstheme="minorHAnsi"/>
                <w:color w:val="000000"/>
                <w:sz w:val="18"/>
                <w:szCs w:val="18"/>
                <w:lang w:eastAsia="en-GB"/>
              </w:rPr>
            </w:pPr>
          </w:p>
          <w:p w14:paraId="669EBAF8" w14:textId="77777777" w:rsidR="00D9523F" w:rsidRPr="00D9523F" w:rsidRDefault="00D9523F" w:rsidP="00D9523F">
            <w:pPr>
              <w:spacing w:after="0" w:line="240" w:lineRule="auto"/>
              <w:jc w:val="center"/>
            </w:pPr>
            <w:r w:rsidRPr="00D9523F">
              <w:t xml:space="preserve">In our commentary, “Climate-related risk and the energy transition,” we discuss that, as investors, we find </w:t>
            </w:r>
            <w:proofErr w:type="gramStart"/>
            <w:r w:rsidRPr="00D9523F">
              <w:t>it</w:t>
            </w:r>
            <w:proofErr w:type="gramEnd"/>
          </w:p>
          <w:p w14:paraId="72779F99" w14:textId="77777777" w:rsidR="00D9523F" w:rsidRPr="00D9523F" w:rsidRDefault="00D9523F" w:rsidP="00D9523F">
            <w:pPr>
              <w:spacing w:after="0" w:line="240" w:lineRule="auto"/>
              <w:jc w:val="center"/>
            </w:pPr>
            <w:r w:rsidRPr="00D9523F">
              <w:t xml:space="preserve">helpful to be able to evaluate companies’ assessments of their emissions across their value chain, or scope </w:t>
            </w:r>
            <w:proofErr w:type="gramStart"/>
            <w:r w:rsidRPr="00D9523F">
              <w:t>3</w:t>
            </w:r>
            <w:proofErr w:type="gramEnd"/>
          </w:p>
          <w:p w14:paraId="723292CF" w14:textId="77777777" w:rsidR="00D9523F" w:rsidRPr="00D9523F" w:rsidRDefault="00D9523F" w:rsidP="00D9523F">
            <w:pPr>
              <w:spacing w:after="0" w:line="240" w:lineRule="auto"/>
              <w:jc w:val="center"/>
            </w:pPr>
            <w:r w:rsidRPr="00D9523F">
              <w:t>emissions, where appropriate, and efforts to reduce them over time. A growing number of companies have</w:t>
            </w:r>
          </w:p>
          <w:p w14:paraId="711A2B5E" w14:textId="40254AE4" w:rsidR="00D9523F" w:rsidRPr="00D9523F" w:rsidRDefault="00D9523F" w:rsidP="00D9523F">
            <w:pPr>
              <w:spacing w:after="0" w:line="240" w:lineRule="auto"/>
              <w:jc w:val="center"/>
            </w:pPr>
            <w:r w:rsidRPr="00D9523F">
              <w:lastRenderedPageBreak/>
              <w:t>started disclosing scope 3 emissions estimates, which provide important insight into the full carbon component</w:t>
            </w:r>
            <w:r w:rsidR="00293E19">
              <w:t xml:space="preserve"> </w:t>
            </w:r>
            <w:r w:rsidRPr="00D9523F">
              <w:t>of companies’ goods and services. This further allows investors to evaluate the long-term risks and resilience of</w:t>
            </w:r>
          </w:p>
          <w:p w14:paraId="2CB9B871" w14:textId="7B589AA7" w:rsidR="00D9523F" w:rsidRPr="00D9523F" w:rsidRDefault="00D9523F" w:rsidP="00D9523F">
            <w:pPr>
              <w:spacing w:after="0" w:line="240" w:lineRule="auto"/>
              <w:jc w:val="center"/>
            </w:pPr>
            <w:r w:rsidRPr="00D9523F">
              <w:t>companies’ value chains. However, we recognize that the methodology, accounting, assurance, and regulatory</w:t>
            </w:r>
            <w:r w:rsidR="00293E19">
              <w:t xml:space="preserve"> </w:t>
            </w:r>
            <w:r w:rsidRPr="00D9523F">
              <w:t>landscape for scope 3 emissions is complex, varied, and still evolving. Double counting is also a legitimate</w:t>
            </w:r>
          </w:p>
          <w:p w14:paraId="61FE4C26" w14:textId="4F49EC05" w:rsidR="00D9523F" w:rsidRDefault="00D9523F" w:rsidP="00D9523F">
            <w:pPr>
              <w:spacing w:after="0" w:line="240" w:lineRule="auto"/>
              <w:jc w:val="center"/>
            </w:pPr>
            <w:r w:rsidRPr="00D9523F">
              <w:t xml:space="preserve">concern. Accordingly, we understand that the scope 3 disclosures that companies </w:t>
            </w:r>
            <w:proofErr w:type="gramStart"/>
            <w:r w:rsidRPr="00D9523F">
              <w:t>are able to</w:t>
            </w:r>
            <w:proofErr w:type="gramEnd"/>
            <w:r w:rsidRPr="00D9523F">
              <w:t xml:space="preserve"> make at this time</w:t>
            </w:r>
            <w:r w:rsidR="00293E19">
              <w:t xml:space="preserve"> </w:t>
            </w:r>
            <w:r w:rsidRPr="00D9523F">
              <w:t>will necessarily be on a good faith and best-efforts basis.</w:t>
            </w:r>
          </w:p>
          <w:p w14:paraId="16C75B56" w14:textId="77777777" w:rsidR="00D9523F" w:rsidRPr="00D9523F" w:rsidRDefault="00D9523F" w:rsidP="00D9523F">
            <w:pPr>
              <w:spacing w:after="0" w:line="240" w:lineRule="auto"/>
              <w:jc w:val="center"/>
            </w:pPr>
          </w:p>
          <w:p w14:paraId="683F0330" w14:textId="274422C5" w:rsidR="00D9523F" w:rsidRPr="00D9523F" w:rsidRDefault="00D9523F" w:rsidP="00D9523F">
            <w:pPr>
              <w:spacing w:after="0" w:line="240" w:lineRule="auto"/>
              <w:jc w:val="center"/>
            </w:pPr>
            <w:r w:rsidRPr="00D9523F">
              <w:t>Currently, Shell has set a target to reduce the net carbon intensity of their energy products by 20% by 2030</w:t>
            </w:r>
            <w:r w:rsidR="00293E19">
              <w:t xml:space="preserve"> </w:t>
            </w:r>
            <w:r w:rsidRPr="00D9523F">
              <w:t>compared to 2016.</w:t>
            </w:r>
            <w:r>
              <w:t xml:space="preserve"> </w:t>
            </w:r>
            <w:r w:rsidRPr="00D9523F">
              <w:t>They have also developed and disclosed their approach to demonstrate how their targets</w:t>
            </w:r>
            <w:r w:rsidR="00293E19">
              <w:t xml:space="preserve"> </w:t>
            </w:r>
            <w:r w:rsidRPr="00D9523F">
              <w:t>are aligned with the goals of the Paris Agreement: to limit global warming to well below 2°C above pre-industrial</w:t>
            </w:r>
            <w:r w:rsidR="00293E19">
              <w:t xml:space="preserve"> </w:t>
            </w:r>
            <w:r w:rsidRPr="00D9523F">
              <w:t>levels and to pursue efforts to limit the temperature increase to 1.5°C.</w:t>
            </w:r>
          </w:p>
          <w:p w14:paraId="546A4365" w14:textId="34AA5409" w:rsidR="00D9523F" w:rsidRPr="00D9523F" w:rsidRDefault="00D9523F" w:rsidP="00D9523F">
            <w:pPr>
              <w:spacing w:after="0" w:line="240" w:lineRule="auto"/>
              <w:jc w:val="center"/>
            </w:pPr>
          </w:p>
          <w:p w14:paraId="0BA8564E" w14:textId="77777777" w:rsidR="00D9523F" w:rsidRPr="00D9523F" w:rsidRDefault="00D9523F" w:rsidP="00D9523F">
            <w:pPr>
              <w:spacing w:after="0" w:line="240" w:lineRule="auto"/>
              <w:jc w:val="center"/>
            </w:pPr>
            <w:r w:rsidRPr="00D9523F">
              <w:t>From the shareholder proposal’s supporting statement, it appears that the proponent is requesting that the</w:t>
            </w:r>
          </w:p>
          <w:p w14:paraId="25C9FDB8" w14:textId="66378988" w:rsidR="00D9523F" w:rsidRPr="00D9523F" w:rsidRDefault="00D9523F" w:rsidP="00D9523F">
            <w:pPr>
              <w:spacing w:after="0" w:line="240" w:lineRule="auto"/>
              <w:jc w:val="center"/>
            </w:pPr>
            <w:r w:rsidRPr="00D9523F">
              <w:t>company set an absolute reduction target for their scope 3 GHG emissions. In our view, this is overly</w:t>
            </w:r>
            <w:r w:rsidR="00086880">
              <w:t xml:space="preserve"> </w:t>
            </w:r>
            <w:r w:rsidRPr="00D9523F">
              <w:t>prescriptive and unduly constraining on management’s decision making. Adhering to the proponent’s ask</w:t>
            </w:r>
            <w:r w:rsidR="00086880">
              <w:t xml:space="preserve"> </w:t>
            </w:r>
            <w:r w:rsidRPr="00D9523F">
              <w:t>would require Shell to reduce product sales or alter their business composition, which could impact the</w:t>
            </w:r>
            <w:r w:rsidR="00086880">
              <w:t xml:space="preserve"> </w:t>
            </w:r>
            <w:r w:rsidRPr="00D9523F">
              <w:t>company’s financial strength and unduly constrain management. For those reasons, BIS determined that the</w:t>
            </w:r>
            <w:r w:rsidR="00086880">
              <w:t xml:space="preserve"> </w:t>
            </w:r>
            <w:r w:rsidRPr="00D9523F">
              <w:t>shareholder proposal was not aligned with the financial interest of shareholders. As a minority investor on</w:t>
            </w:r>
            <w:r w:rsidR="00086880">
              <w:t xml:space="preserve"> </w:t>
            </w:r>
            <w:r w:rsidRPr="00D9523F">
              <w:t>behalf of our clients, BlackRock relies on the boards and management teams of companies to implement the</w:t>
            </w:r>
            <w:r w:rsidR="00086880">
              <w:t xml:space="preserve"> </w:t>
            </w:r>
            <w:r w:rsidRPr="00D9523F">
              <w:t>strategies they deem most appropriate with the objective of delivering durable long-term financial returns.</w:t>
            </w:r>
          </w:p>
          <w:p w14:paraId="50B69CE7" w14:textId="77777777" w:rsidR="00D9523F" w:rsidRDefault="00D9523F" w:rsidP="00D9523F">
            <w:pPr>
              <w:spacing w:after="0" w:line="240" w:lineRule="auto"/>
              <w:jc w:val="center"/>
            </w:pPr>
          </w:p>
          <w:p w14:paraId="51174379" w14:textId="0566B83D" w:rsidR="00D9523F" w:rsidRPr="00D9523F" w:rsidRDefault="00D9523F" w:rsidP="00D9523F">
            <w:pPr>
              <w:spacing w:after="0" w:line="240" w:lineRule="auto"/>
              <w:jc w:val="center"/>
            </w:pPr>
            <w:r w:rsidRPr="00D9523F">
              <w:t>Therefore, BIS did not consider it in the financial interests of our clients to support this shareholder proposal. As</w:t>
            </w:r>
          </w:p>
          <w:p w14:paraId="6A46932E" w14:textId="38C50166" w:rsidR="00D9523F" w:rsidRPr="002F79A3" w:rsidRDefault="00D9523F" w:rsidP="00086880">
            <w:pPr>
              <w:spacing w:after="0" w:line="240" w:lineRule="auto"/>
              <w:jc w:val="center"/>
              <w:rPr>
                <w:rFonts w:asciiTheme="minorHAnsi" w:hAnsiTheme="minorHAnsi" w:cstheme="minorHAnsi"/>
                <w:color w:val="000000"/>
                <w:sz w:val="18"/>
                <w:szCs w:val="18"/>
                <w:lang w:eastAsia="en-GB"/>
              </w:rPr>
            </w:pPr>
            <w:r w:rsidRPr="00D9523F">
              <w:t>discussed above, in our assessment of their Energy Transition Strategy, the company is addressing the risks</w:t>
            </w:r>
            <w:r w:rsidR="00086880">
              <w:t xml:space="preserve"> </w:t>
            </w:r>
            <w:r w:rsidRPr="00D9523F">
              <w:t>and opportunities in their business model stemming from a low carbon transition and has demonstrated that</w:t>
            </w:r>
            <w:r w:rsidR="00086880">
              <w:t xml:space="preserve"> </w:t>
            </w:r>
            <w:r w:rsidRPr="00D9523F">
              <w:t>they are delivering against their stated plan.</w:t>
            </w:r>
          </w:p>
        </w:tc>
        <w:tc>
          <w:tcPr>
            <w:tcW w:w="129" w:type="pct"/>
            <w:vAlign w:val="center"/>
            <w:hideMark/>
          </w:tcPr>
          <w:p w14:paraId="3089313D" w14:textId="77777777" w:rsidR="00A43C2E" w:rsidRPr="002F79A3" w:rsidRDefault="00A43C2E" w:rsidP="00A43C2E">
            <w:pPr>
              <w:spacing w:after="0" w:line="240" w:lineRule="auto"/>
              <w:rPr>
                <w:rFonts w:asciiTheme="minorHAnsi" w:hAnsiTheme="minorHAnsi" w:cstheme="minorHAnsi"/>
                <w:sz w:val="18"/>
                <w:szCs w:val="18"/>
                <w:lang w:eastAsia="en-GB"/>
              </w:rPr>
            </w:pPr>
          </w:p>
        </w:tc>
      </w:tr>
    </w:tbl>
    <w:p w14:paraId="53DDA915" w14:textId="1CDDE07C" w:rsidR="005B6E76" w:rsidRPr="002F79A3" w:rsidRDefault="005B6E76" w:rsidP="00A43C2E">
      <w:pPr>
        <w:pStyle w:val="ListBullet3"/>
        <w:numPr>
          <w:ilvl w:val="0"/>
          <w:numId w:val="0"/>
        </w:numPr>
        <w:rPr>
          <w:rFonts w:asciiTheme="minorHAnsi" w:hAnsiTheme="minorHAnsi" w:cstheme="minorHAnsi"/>
          <w:sz w:val="18"/>
          <w:szCs w:val="18"/>
        </w:rPr>
      </w:pPr>
    </w:p>
    <w:sectPr w:rsidR="005B6E76" w:rsidRPr="002F79A3" w:rsidSect="001F3AE3">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40" w:left="680" w:header="454"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C1EB" w14:textId="77777777" w:rsidR="001F61DD" w:rsidRDefault="001F61DD" w:rsidP="001D2057">
      <w:r>
        <w:separator/>
      </w:r>
    </w:p>
    <w:p w14:paraId="79B83F11" w14:textId="77777777" w:rsidR="001F61DD" w:rsidRDefault="001F61DD"/>
    <w:p w14:paraId="2C586231" w14:textId="77777777" w:rsidR="001F61DD" w:rsidRDefault="001F61DD"/>
  </w:endnote>
  <w:endnote w:type="continuationSeparator" w:id="0">
    <w:p w14:paraId="1F77B026" w14:textId="77777777" w:rsidR="001F61DD" w:rsidRDefault="001F61DD" w:rsidP="001D2057">
      <w:r>
        <w:continuationSeparator/>
      </w:r>
    </w:p>
    <w:p w14:paraId="4DAD76B3" w14:textId="77777777" w:rsidR="001F61DD" w:rsidRDefault="001F61DD"/>
    <w:p w14:paraId="12AF8327" w14:textId="77777777" w:rsidR="001F61DD" w:rsidRDefault="001F61DD"/>
  </w:endnote>
  <w:endnote w:type="continuationNotice" w:id="1">
    <w:p w14:paraId="2E7BE071" w14:textId="77777777" w:rsidR="001F61DD" w:rsidRDefault="001F6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ee Rg">
    <w:altName w:val="Arial"/>
    <w:panose1 w:val="00000000000000000000"/>
    <w:charset w:val="00"/>
    <w:family w:val="modern"/>
    <w:notTrueType/>
    <w:pitch w:val="variable"/>
    <w:sig w:usb0="00000001" w:usb1="5000205B" w:usb2="00000000" w:usb3="00000000" w:csb0="0000009B"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7DB1" w14:textId="77777777" w:rsidR="00477D02" w:rsidRDefault="00477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142" w:type="dxa"/>
      <w:tblBorders>
        <w:top w:val="single" w:sz="2" w:space="0" w:color="00685B"/>
      </w:tblBorders>
      <w:tblLook w:val="0600" w:firstRow="0" w:lastRow="0" w:firstColumn="0" w:lastColumn="0" w:noHBand="1" w:noVBand="1"/>
    </w:tblPr>
    <w:tblGrid>
      <w:gridCol w:w="7655"/>
      <w:gridCol w:w="2977"/>
    </w:tblGrid>
    <w:tr w:rsidR="00FD6F7C" w:rsidRPr="00FD6F7C" w14:paraId="640A2B28" w14:textId="77777777" w:rsidTr="00FD6F7C">
      <w:trPr>
        <w:trHeight w:hRule="exact" w:val="255"/>
      </w:trPr>
      <w:tc>
        <w:tcPr>
          <w:tcW w:w="7655" w:type="dxa"/>
          <w:vAlign w:val="bottom"/>
        </w:tcPr>
        <w:p w14:paraId="640A2B26" w14:textId="77777777" w:rsidR="00DB3635" w:rsidRPr="00FD6F7C" w:rsidRDefault="00DB3635" w:rsidP="001F1F00">
          <w:pPr>
            <w:pStyle w:val="Footer"/>
            <w:rPr>
              <w:color w:val="00685B"/>
            </w:rPr>
          </w:pPr>
          <w:r w:rsidRPr="00FD6F7C">
            <w:rPr>
              <w:rFonts w:cs="Segoe UI"/>
              <w:b/>
              <w:color w:val="00685B"/>
            </w:rPr>
            <w:t>XPS</w:t>
          </w:r>
          <w:r w:rsidR="002F2EC9" w:rsidRPr="00FD6F7C">
            <w:rPr>
              <w:color w:val="00685B"/>
            </w:rPr>
            <w:t xml:space="preserve"> </w:t>
          </w:r>
          <w:r w:rsidR="001F1F00">
            <w:rPr>
              <w:color w:val="00685B"/>
            </w:rPr>
            <w:t>Investment</w:t>
          </w:r>
        </w:p>
      </w:tc>
      <w:tc>
        <w:tcPr>
          <w:tcW w:w="2977" w:type="dxa"/>
          <w:vAlign w:val="bottom"/>
        </w:tcPr>
        <w:p w14:paraId="640A2B27" w14:textId="77777777" w:rsidR="00DB3635" w:rsidRPr="00FD6F7C" w:rsidRDefault="00DB3635" w:rsidP="00DB3635">
          <w:pPr>
            <w:pStyle w:val="Footer"/>
            <w:jc w:val="right"/>
            <w:rPr>
              <w:rStyle w:val="PageNumber"/>
              <w:color w:val="00685B"/>
            </w:rPr>
          </w:pPr>
          <w:r w:rsidRPr="00FD6F7C">
            <w:rPr>
              <w:rStyle w:val="PageNumber"/>
              <w:color w:val="00685B"/>
            </w:rPr>
            <w:fldChar w:fldCharType="begin"/>
          </w:r>
          <w:r w:rsidRPr="00FD6F7C">
            <w:rPr>
              <w:rStyle w:val="PageNumber"/>
              <w:color w:val="00685B"/>
            </w:rPr>
            <w:instrText xml:space="preserve"> PAGE   \* MERGEFORMAT </w:instrText>
          </w:r>
          <w:r w:rsidRPr="00FD6F7C">
            <w:rPr>
              <w:rStyle w:val="PageNumber"/>
              <w:color w:val="00685B"/>
            </w:rPr>
            <w:fldChar w:fldCharType="separate"/>
          </w:r>
          <w:r w:rsidR="00E622D1">
            <w:rPr>
              <w:rStyle w:val="PageNumber"/>
              <w:noProof/>
              <w:color w:val="00685B"/>
            </w:rPr>
            <w:t>1</w:t>
          </w:r>
          <w:r w:rsidRPr="00FD6F7C">
            <w:rPr>
              <w:rStyle w:val="PageNumber"/>
              <w:color w:val="00685B"/>
            </w:rPr>
            <w:fldChar w:fldCharType="end"/>
          </w:r>
        </w:p>
      </w:tc>
    </w:tr>
  </w:tbl>
  <w:p w14:paraId="640A2B29" w14:textId="77777777" w:rsidR="00810BF8" w:rsidRDefault="0081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B1AF" w14:textId="77777777" w:rsidR="00477D02" w:rsidRDefault="0047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1C04" w14:textId="77777777" w:rsidR="001F61DD" w:rsidRDefault="001F61DD" w:rsidP="001D2057">
      <w:r>
        <w:separator/>
      </w:r>
    </w:p>
    <w:p w14:paraId="60A18CA2" w14:textId="77777777" w:rsidR="001F61DD" w:rsidRDefault="001F61DD"/>
    <w:p w14:paraId="309D121F" w14:textId="77777777" w:rsidR="001F61DD" w:rsidRDefault="001F61DD"/>
  </w:footnote>
  <w:footnote w:type="continuationSeparator" w:id="0">
    <w:p w14:paraId="175EED94" w14:textId="77777777" w:rsidR="001F61DD" w:rsidRDefault="001F61DD" w:rsidP="001D2057">
      <w:r>
        <w:continuationSeparator/>
      </w:r>
    </w:p>
    <w:p w14:paraId="2FCD0D0D" w14:textId="77777777" w:rsidR="001F61DD" w:rsidRDefault="001F61DD"/>
    <w:p w14:paraId="687A6DBB" w14:textId="77777777" w:rsidR="001F61DD" w:rsidRDefault="001F61DD"/>
  </w:footnote>
  <w:footnote w:type="continuationNotice" w:id="1">
    <w:p w14:paraId="4D9B31B4" w14:textId="77777777" w:rsidR="001F61DD" w:rsidRDefault="001F6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1923" w14:textId="77777777" w:rsidR="00477D02" w:rsidRDefault="00477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2B25" w14:textId="77777777" w:rsidR="00810BF8" w:rsidRDefault="00E1459E">
    <w:r w:rsidRPr="00DB3635">
      <w:rPr>
        <w:noProof/>
        <w:lang w:eastAsia="en-GB"/>
      </w:rPr>
      <w:drawing>
        <wp:anchor distT="0" distB="0" distL="114300" distR="114300" simplePos="0" relativeHeight="251659264" behindDoc="1" locked="0" layoutInCell="1" allowOverlap="1" wp14:anchorId="640A2B2A" wp14:editId="640A2B2B">
          <wp:simplePos x="0" y="0"/>
          <wp:positionH relativeFrom="column">
            <wp:posOffset>-313</wp:posOffset>
          </wp:positionH>
          <wp:positionV relativeFrom="paragraph">
            <wp:posOffset>114300</wp:posOffset>
          </wp:positionV>
          <wp:extent cx="2174643" cy="5400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 EVOLUTION\2018 - XPS PENSIONS\Logos\XPS_MasterLogos  (1)\XPS_MasterLogos\XPS Pensions Group\XPS Pensions Group Stacked Logos\XPS Stacked RGB\XPS_Stacked-RG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74643"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BF90" w14:textId="77777777" w:rsidR="00477D02" w:rsidRDefault="00477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08.75pt" o:bullet="t">
        <v:imagedata r:id="rId1" o:title="bullet"/>
      </v:shape>
    </w:pict>
  </w:numPicBullet>
  <w:abstractNum w:abstractNumId="0" w15:restartNumberingAfterBreak="0">
    <w:nsid w:val="FFFFFF82"/>
    <w:multiLevelType w:val="singleLevel"/>
    <w:tmpl w:val="2DFA31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AA02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37621D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0E4902"/>
    <w:multiLevelType w:val="hybridMultilevel"/>
    <w:tmpl w:val="4D9E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0013F"/>
    <w:multiLevelType w:val="multilevel"/>
    <w:tmpl w:val="59BE59C4"/>
    <w:styleLink w:val="Style1"/>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29261B"/>
    <w:multiLevelType w:val="hybridMultilevel"/>
    <w:tmpl w:val="35B84830"/>
    <w:lvl w:ilvl="0" w:tplc="0809000F">
      <w:start w:val="1"/>
      <w:numFmt w:val="decimal"/>
      <w:lvlText w:val="%1."/>
      <w:lvlJc w:val="left"/>
      <w:pPr>
        <w:ind w:left="720" w:hanging="360"/>
      </w:pPr>
      <w:rPr>
        <w:rFonts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94503"/>
    <w:multiLevelType w:val="hybridMultilevel"/>
    <w:tmpl w:val="AB22E774"/>
    <w:lvl w:ilvl="0" w:tplc="6A5CE106">
      <w:numFmt w:val="bullet"/>
      <w:lvlText w:val="–"/>
      <w:lvlJc w:val="left"/>
      <w:pPr>
        <w:ind w:left="720" w:hanging="360"/>
      </w:pPr>
      <w:rPr>
        <w:rFonts w:ascii="Bree Rg" w:eastAsiaTheme="minorHAnsi" w:hAnsi="Bree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0236F"/>
    <w:multiLevelType w:val="hybridMultilevel"/>
    <w:tmpl w:val="FE5463C2"/>
    <w:lvl w:ilvl="0" w:tplc="32BA51F0">
      <w:start w:val="1"/>
      <w:numFmt w:val="bullet"/>
      <w:lvlText w:val="•"/>
      <w:lvlJc w:val="left"/>
      <w:pPr>
        <w:ind w:left="720" w:hanging="360"/>
      </w:pPr>
      <w:rPr>
        <w:rFonts w:ascii="Arial" w:hAnsi="Arial" w:hint="default"/>
        <w:color w:val="00A9E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7BE8"/>
    <w:multiLevelType w:val="hybridMultilevel"/>
    <w:tmpl w:val="78F61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FD4C03"/>
    <w:multiLevelType w:val="multilevel"/>
    <w:tmpl w:val="7DFCC118"/>
    <w:lvl w:ilvl="0">
      <w:start w:val="1"/>
      <w:numFmt w:val="bullet"/>
      <w:pStyle w:val="ListBullet"/>
      <w:lvlText w:val="&gt;"/>
      <w:lvlJc w:val="left"/>
      <w:pPr>
        <w:tabs>
          <w:tab w:val="num" w:pos="170"/>
        </w:tabs>
        <w:ind w:left="170" w:hanging="170"/>
      </w:pPr>
      <w:rPr>
        <w:rFonts w:ascii="Segoe UI Semilight" w:hAnsi="Segoe UI Semilight" w:hint="default"/>
      </w:rPr>
    </w:lvl>
    <w:lvl w:ilvl="1">
      <w:start w:val="1"/>
      <w:numFmt w:val="bullet"/>
      <w:pStyle w:val="ListBullet2"/>
      <w:lvlText w:val="–"/>
      <w:lvlJc w:val="left"/>
      <w:pPr>
        <w:tabs>
          <w:tab w:val="num" w:pos="340"/>
        </w:tabs>
        <w:ind w:left="340" w:hanging="170"/>
      </w:pPr>
      <w:rPr>
        <w:rFonts w:ascii="Segoe UI Semilight" w:hAnsi="Segoe UI Semilight" w:hint="default"/>
      </w:rPr>
    </w:lvl>
    <w:lvl w:ilvl="2">
      <w:start w:val="1"/>
      <w:numFmt w:val="bullet"/>
      <w:pStyle w:val="ListBullet3"/>
      <w:lvlText w:val="–"/>
      <w:lvlJc w:val="left"/>
      <w:pPr>
        <w:tabs>
          <w:tab w:val="num" w:pos="510"/>
        </w:tabs>
        <w:ind w:left="510" w:hanging="170"/>
      </w:pPr>
      <w:rPr>
        <w:rFonts w:ascii="Segoe UI Semilight" w:hAnsi="Segoe UI Semilight"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o"/>
      <w:lvlJc w:val="left"/>
      <w:pPr>
        <w:tabs>
          <w:tab w:val="num" w:pos="850"/>
        </w:tabs>
        <w:ind w:left="850" w:hanging="170"/>
      </w:pPr>
      <w:rPr>
        <w:rFonts w:ascii="Courier New" w:hAnsi="Courier New" w:cs="Courier New" w:hint="default"/>
      </w:rPr>
    </w:lvl>
    <w:lvl w:ilvl="5">
      <w:start w:val="1"/>
      <w:numFmt w:val="bullet"/>
      <w:lvlText w:val=""/>
      <w:lvlJc w:val="left"/>
      <w:pPr>
        <w:tabs>
          <w:tab w:val="num" w:pos="1020"/>
        </w:tabs>
        <w:ind w:left="1020" w:hanging="170"/>
      </w:pPr>
      <w:rPr>
        <w:rFonts w:ascii="Wingdings" w:hAnsi="Wingdings"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o"/>
      <w:lvlJc w:val="left"/>
      <w:pPr>
        <w:tabs>
          <w:tab w:val="num" w:pos="1360"/>
        </w:tabs>
        <w:ind w:left="1360" w:hanging="170"/>
      </w:pPr>
      <w:rPr>
        <w:rFonts w:ascii="Courier New" w:hAnsi="Courier New" w:cs="Courier New" w:hint="default"/>
      </w:rPr>
    </w:lvl>
    <w:lvl w:ilvl="8">
      <w:start w:val="1"/>
      <w:numFmt w:val="bullet"/>
      <w:lvlText w:val=""/>
      <w:lvlJc w:val="left"/>
      <w:pPr>
        <w:tabs>
          <w:tab w:val="num" w:pos="1530"/>
        </w:tabs>
        <w:ind w:left="1530" w:hanging="170"/>
      </w:pPr>
      <w:rPr>
        <w:rFonts w:ascii="Wingdings" w:hAnsi="Wingdings" w:hint="default"/>
      </w:rPr>
    </w:lvl>
  </w:abstractNum>
  <w:abstractNum w:abstractNumId="10" w15:restartNumberingAfterBreak="0">
    <w:nsid w:val="230C2EE1"/>
    <w:multiLevelType w:val="hybridMultilevel"/>
    <w:tmpl w:val="6A6C42DA"/>
    <w:lvl w:ilvl="0" w:tplc="32BA51F0">
      <w:start w:val="1"/>
      <w:numFmt w:val="bullet"/>
      <w:lvlText w:val="•"/>
      <w:lvlJc w:val="left"/>
      <w:pPr>
        <w:ind w:left="720" w:hanging="360"/>
      </w:pPr>
      <w:rPr>
        <w:rFonts w:ascii="Arial" w:hAnsi="Arial" w:hint="default"/>
        <w:color w:val="00A9E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00E64"/>
    <w:multiLevelType w:val="hybridMultilevel"/>
    <w:tmpl w:val="94E47FC4"/>
    <w:lvl w:ilvl="0" w:tplc="CFB86358">
      <w:numFmt w:val="bullet"/>
      <w:lvlText w:val="-"/>
      <w:lvlJc w:val="left"/>
      <w:pPr>
        <w:ind w:left="720" w:hanging="360"/>
      </w:pPr>
      <w:rPr>
        <w:rFonts w:ascii="Segoe UI Semilight" w:eastAsia="Times New Roman" w:hAnsi="Segoe UI Semilight" w:cs="Segoe UI Semi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D1C09"/>
    <w:multiLevelType w:val="multilevel"/>
    <w:tmpl w:val="5B0C3C8E"/>
    <w:lvl w:ilvl="0">
      <w:start w:val="1"/>
      <w:numFmt w:val="decimalZero"/>
      <w:lvlText w:val="%1"/>
      <w:lvlJc w:val="right"/>
      <w:pPr>
        <w:ind w:left="1134" w:hanging="227"/>
      </w:pPr>
      <w:rPr>
        <w:rFonts w:asciiTheme="minorHAnsi" w:hAnsiTheme="minorHAnsi" w:hint="default"/>
      </w:rPr>
    </w:lvl>
    <w:lvl w:ilvl="1">
      <w:start w:val="1"/>
      <w:numFmt w:val="decimalZero"/>
      <w:pStyle w:val="Heading2"/>
      <w:lvlText w:val="%1.%2"/>
      <w:lvlJc w:val="left"/>
      <w:pPr>
        <w:ind w:left="794" w:hanging="794"/>
      </w:pPr>
      <w:rPr>
        <w:rFonts w:hint="default"/>
      </w:rPr>
    </w:lvl>
    <w:lvl w:ilvl="2">
      <w:start w:val="1"/>
      <w:numFmt w:val="decimalZero"/>
      <w:pStyle w:val="Heading3"/>
      <w:lvlText w:val="%1.%2.%3"/>
      <w:lvlJc w:val="left"/>
      <w:pPr>
        <w:ind w:left="964" w:hanging="964"/>
      </w:pPr>
      <w:rPr>
        <w:rFonts w:hint="default"/>
      </w:rPr>
    </w:lvl>
    <w:lvl w:ilvl="3">
      <w:start w:val="1"/>
      <w:numFmt w:val="decimal"/>
      <w:lvlText w:val="%4."/>
      <w:lvlJc w:val="left"/>
      <w:pPr>
        <w:ind w:left="1588" w:firstLine="0"/>
      </w:pPr>
      <w:rPr>
        <w:rFonts w:hint="default"/>
      </w:rPr>
    </w:lvl>
    <w:lvl w:ilvl="4">
      <w:start w:val="1"/>
      <w:numFmt w:val="lowerLetter"/>
      <w:lvlText w:val="%5."/>
      <w:lvlJc w:val="left"/>
      <w:pPr>
        <w:ind w:left="1985" w:firstLine="0"/>
      </w:pPr>
      <w:rPr>
        <w:rFonts w:hint="default"/>
      </w:rPr>
    </w:lvl>
    <w:lvl w:ilvl="5">
      <w:start w:val="1"/>
      <w:numFmt w:val="lowerRoman"/>
      <w:lvlText w:val="%6."/>
      <w:lvlJc w:val="right"/>
      <w:pPr>
        <w:ind w:left="2382" w:firstLine="0"/>
      </w:pPr>
      <w:rPr>
        <w:rFonts w:hint="default"/>
      </w:rPr>
    </w:lvl>
    <w:lvl w:ilvl="6">
      <w:start w:val="1"/>
      <w:numFmt w:val="decimal"/>
      <w:lvlText w:val="%7."/>
      <w:lvlJc w:val="left"/>
      <w:pPr>
        <w:ind w:left="2779" w:firstLine="0"/>
      </w:pPr>
      <w:rPr>
        <w:rFonts w:hint="default"/>
      </w:rPr>
    </w:lvl>
    <w:lvl w:ilvl="7">
      <w:start w:val="1"/>
      <w:numFmt w:val="lowerLetter"/>
      <w:lvlText w:val="%8."/>
      <w:lvlJc w:val="left"/>
      <w:pPr>
        <w:ind w:left="3176" w:firstLine="0"/>
      </w:pPr>
      <w:rPr>
        <w:rFonts w:hint="default"/>
      </w:rPr>
    </w:lvl>
    <w:lvl w:ilvl="8">
      <w:start w:val="1"/>
      <w:numFmt w:val="lowerRoman"/>
      <w:lvlText w:val="%9."/>
      <w:lvlJc w:val="right"/>
      <w:pPr>
        <w:ind w:left="3573" w:firstLine="0"/>
      </w:pPr>
      <w:rPr>
        <w:rFonts w:hint="default"/>
      </w:rPr>
    </w:lvl>
  </w:abstractNum>
  <w:abstractNum w:abstractNumId="13" w15:restartNumberingAfterBreak="0">
    <w:nsid w:val="2C834736"/>
    <w:multiLevelType w:val="hybridMultilevel"/>
    <w:tmpl w:val="9A505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15819"/>
    <w:multiLevelType w:val="hybridMultilevel"/>
    <w:tmpl w:val="205A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B74DC"/>
    <w:multiLevelType w:val="hybridMultilevel"/>
    <w:tmpl w:val="43DEF636"/>
    <w:lvl w:ilvl="0" w:tplc="FA483BC4">
      <w:start w:val="1"/>
      <w:numFmt w:val="decimalZero"/>
      <w:pStyle w:val="Heading1"/>
      <w:lvlText w:val="%1"/>
      <w:lvlJc w:val="left"/>
      <w:pPr>
        <w:ind w:left="360" w:hanging="360"/>
      </w:pPr>
      <w:rPr>
        <w:rFonts w:ascii="Segoe UI Semilight" w:hAnsi="Segoe UI Semilight" w:hint="default"/>
        <w:b w:val="0"/>
        <w:i w:val="0"/>
        <w:sz w:val="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E13935"/>
    <w:multiLevelType w:val="hybridMultilevel"/>
    <w:tmpl w:val="BC9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E2C4B"/>
    <w:multiLevelType w:val="hybridMultilevel"/>
    <w:tmpl w:val="CC4ACC6E"/>
    <w:lvl w:ilvl="0" w:tplc="C4744438">
      <w:start w:val="1"/>
      <w:numFmt w:val="bullet"/>
      <w:lvlText w:val="&gt;"/>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80E51"/>
    <w:multiLevelType w:val="hybridMultilevel"/>
    <w:tmpl w:val="8DFECCCA"/>
    <w:lvl w:ilvl="0" w:tplc="9F586326">
      <w:start w:val="1"/>
      <w:numFmt w:val="bullet"/>
      <w:lvlText w:val=""/>
      <w:lvlJc w:val="left"/>
      <w:pPr>
        <w:ind w:left="360" w:hanging="360"/>
      </w:pPr>
      <w:rPr>
        <w:rFonts w:ascii="Symbol" w:hAnsi="Symbol"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CD04C1"/>
    <w:multiLevelType w:val="hybridMultilevel"/>
    <w:tmpl w:val="386C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70539"/>
    <w:multiLevelType w:val="hybridMultilevel"/>
    <w:tmpl w:val="2BD05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B531CF"/>
    <w:multiLevelType w:val="hybridMultilevel"/>
    <w:tmpl w:val="F8E8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5702B"/>
    <w:multiLevelType w:val="multilevel"/>
    <w:tmpl w:val="5484E6B8"/>
    <w:lvl w:ilvl="0">
      <w:start w:val="1"/>
      <w:numFmt w:val="upperLetter"/>
      <w:pStyle w:val="AppendixHeading1"/>
      <w:suff w:val="nothing"/>
      <w:lvlText w:val="Appendix %1"/>
      <w:lvlJc w:val="left"/>
      <w:pPr>
        <w:ind w:left="0" w:firstLine="0"/>
      </w:pPr>
      <w:rPr>
        <w:rFonts w:hint="default"/>
      </w:rPr>
    </w:lvl>
    <w:lvl w:ilvl="1">
      <w:start w:val="1"/>
      <w:numFmt w:val="decimalZero"/>
      <w:pStyle w:val="AppendixHeading2"/>
      <w:lvlText w:val="%1.%2"/>
      <w:lvlJc w:val="left"/>
      <w:pPr>
        <w:ind w:left="680" w:hanging="680"/>
      </w:pPr>
      <w:rPr>
        <w:rFonts w:hint="default"/>
      </w:rPr>
    </w:lvl>
    <w:lvl w:ilvl="2">
      <w:start w:val="1"/>
      <w:numFmt w:val="decimalZero"/>
      <w:pStyle w:val="AppendixHeading3"/>
      <w:lvlText w:val="%1.%2.%3"/>
      <w:lvlJc w:val="left"/>
      <w:pPr>
        <w:ind w:left="907" w:hanging="907"/>
      </w:pPr>
      <w:rPr>
        <w:rFonts w:hint="default"/>
      </w:rPr>
    </w:lvl>
    <w:lvl w:ilvl="3">
      <w:start w:val="1"/>
      <w:numFmt w:val="none"/>
      <w:suff w:val="space"/>
      <w:lvlText w:val=""/>
      <w:lvlJc w:val="left"/>
      <w:pPr>
        <w:ind w:left="0" w:firstLine="0"/>
      </w:pPr>
      <w:rPr>
        <w:rFonts w:ascii="Arial" w:hAnsi="Arial" w:hint="default"/>
        <w:b w:val="0"/>
        <w:i w:val="0"/>
        <w:caps w:val="0"/>
        <w:strike w:val="0"/>
        <w:dstrike w:val="0"/>
        <w:vanish w:val="0"/>
        <w:color w:val="623480"/>
        <w:sz w:val="36"/>
        <w:u w:val="none"/>
        <w:vertAlign w:val="baseline"/>
      </w:rPr>
    </w:lvl>
    <w:lvl w:ilvl="4">
      <w:start w:val="1"/>
      <w:numFmt w:val="none"/>
      <w:lvlText w:val=""/>
      <w:lvlJc w:val="left"/>
      <w:pPr>
        <w:tabs>
          <w:tab w:val="num" w:pos="567"/>
        </w:tabs>
        <w:ind w:left="567" w:hanging="567"/>
      </w:pPr>
      <w:rPr>
        <w:rFonts w:hint="default"/>
      </w:rPr>
    </w:lvl>
    <w:lvl w:ilvl="5">
      <w:start w:val="1"/>
      <w:numFmt w:val="none"/>
      <w:suff w:val="nothing"/>
      <w:lvlText w:val=""/>
      <w:lvlJc w:val="left"/>
      <w:pPr>
        <w:ind w:left="0" w:firstLine="0"/>
      </w:pPr>
      <w:rPr>
        <w:rFonts w:hint="default"/>
      </w:rPr>
    </w:lvl>
    <w:lvl w:ilvl="6">
      <w:start w:val="1"/>
      <w:numFmt w:val="decimal"/>
      <w:lvlText w:val="%4"/>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D23237E"/>
    <w:multiLevelType w:val="hybridMultilevel"/>
    <w:tmpl w:val="A95E2004"/>
    <w:lvl w:ilvl="0" w:tplc="9640A5D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63DEC"/>
    <w:multiLevelType w:val="hybridMultilevel"/>
    <w:tmpl w:val="7646BBE2"/>
    <w:lvl w:ilvl="0" w:tplc="6E22718E">
      <w:start w:val="1"/>
      <w:numFmt w:val="bullet"/>
      <w:lvlText w:val="–"/>
      <w:lvlJc w:val="left"/>
      <w:pPr>
        <w:ind w:left="720" w:hanging="360"/>
      </w:pPr>
      <w:rPr>
        <w:rFonts w:ascii="Bree Rg" w:hAnsi="Bree Rg" w:hint="default"/>
        <w:color w:val="00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807FE"/>
    <w:multiLevelType w:val="hybridMultilevel"/>
    <w:tmpl w:val="74F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762995">
    <w:abstractNumId w:val="6"/>
  </w:num>
  <w:num w:numId="2" w16cid:durableId="1208444559">
    <w:abstractNumId w:val="23"/>
  </w:num>
  <w:num w:numId="3" w16cid:durableId="1095635417">
    <w:abstractNumId w:val="16"/>
  </w:num>
  <w:num w:numId="4" w16cid:durableId="1989625278">
    <w:abstractNumId w:val="10"/>
  </w:num>
  <w:num w:numId="5" w16cid:durableId="2025404043">
    <w:abstractNumId w:val="7"/>
  </w:num>
  <w:num w:numId="6" w16cid:durableId="940604175">
    <w:abstractNumId w:val="24"/>
  </w:num>
  <w:num w:numId="7" w16cid:durableId="354380554">
    <w:abstractNumId w:val="12"/>
  </w:num>
  <w:num w:numId="8" w16cid:durableId="1999964917">
    <w:abstractNumId w:val="4"/>
  </w:num>
  <w:num w:numId="9" w16cid:durableId="103622626">
    <w:abstractNumId w:val="2"/>
  </w:num>
  <w:num w:numId="10" w16cid:durableId="458845253">
    <w:abstractNumId w:val="1"/>
  </w:num>
  <w:num w:numId="11" w16cid:durableId="1523664944">
    <w:abstractNumId w:val="0"/>
  </w:num>
  <w:num w:numId="12" w16cid:durableId="1186096122">
    <w:abstractNumId w:val="9"/>
  </w:num>
  <w:num w:numId="13" w16cid:durableId="1390036818">
    <w:abstractNumId w:val="18"/>
  </w:num>
  <w:num w:numId="14" w16cid:durableId="111360205">
    <w:abstractNumId w:val="9"/>
  </w:num>
  <w:num w:numId="15" w16cid:durableId="79955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7330620">
    <w:abstractNumId w:val="22"/>
  </w:num>
  <w:num w:numId="17" w16cid:durableId="880364993">
    <w:abstractNumId w:val="8"/>
  </w:num>
  <w:num w:numId="18" w16cid:durableId="544024303">
    <w:abstractNumId w:val="20"/>
  </w:num>
  <w:num w:numId="19" w16cid:durableId="60643062">
    <w:abstractNumId w:val="14"/>
  </w:num>
  <w:num w:numId="20" w16cid:durableId="18967730">
    <w:abstractNumId w:val="19"/>
  </w:num>
  <w:num w:numId="21" w16cid:durableId="1761944141">
    <w:abstractNumId w:val="15"/>
  </w:num>
  <w:num w:numId="22" w16cid:durableId="1037848252">
    <w:abstractNumId w:val="3"/>
  </w:num>
  <w:num w:numId="23" w16cid:durableId="337315432">
    <w:abstractNumId w:val="17"/>
  </w:num>
  <w:num w:numId="24" w16cid:durableId="378749978">
    <w:abstractNumId w:val="25"/>
  </w:num>
  <w:num w:numId="25" w16cid:durableId="1713269344">
    <w:abstractNumId w:val="13"/>
  </w:num>
  <w:num w:numId="26" w16cid:durableId="1731150771">
    <w:abstractNumId w:val="11"/>
  </w:num>
  <w:num w:numId="27" w16cid:durableId="1180243352">
    <w:abstractNumId w:val="21"/>
  </w:num>
  <w:num w:numId="28" w16cid:durableId="728112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58"/>
    <w:rsid w:val="000035CD"/>
    <w:rsid w:val="00004024"/>
    <w:rsid w:val="00011D12"/>
    <w:rsid w:val="000178F1"/>
    <w:rsid w:val="000250EE"/>
    <w:rsid w:val="000305B4"/>
    <w:rsid w:val="00031CE0"/>
    <w:rsid w:val="00032CA8"/>
    <w:rsid w:val="000537B2"/>
    <w:rsid w:val="00056D80"/>
    <w:rsid w:val="00065892"/>
    <w:rsid w:val="00066E71"/>
    <w:rsid w:val="00070E7D"/>
    <w:rsid w:val="000737A4"/>
    <w:rsid w:val="00077ABE"/>
    <w:rsid w:val="0008110F"/>
    <w:rsid w:val="00081EAB"/>
    <w:rsid w:val="00086880"/>
    <w:rsid w:val="000A1B2F"/>
    <w:rsid w:val="000A3F40"/>
    <w:rsid w:val="000C3E7F"/>
    <w:rsid w:val="000C5D7D"/>
    <w:rsid w:val="000E18ED"/>
    <w:rsid w:val="000E250C"/>
    <w:rsid w:val="000E25A2"/>
    <w:rsid w:val="000F0E78"/>
    <w:rsid w:val="000F2F60"/>
    <w:rsid w:val="001068FB"/>
    <w:rsid w:val="001110F6"/>
    <w:rsid w:val="00115A9D"/>
    <w:rsid w:val="00120B17"/>
    <w:rsid w:val="00124B0F"/>
    <w:rsid w:val="00140A28"/>
    <w:rsid w:val="00142AAD"/>
    <w:rsid w:val="00153CA2"/>
    <w:rsid w:val="00155468"/>
    <w:rsid w:val="00155751"/>
    <w:rsid w:val="0016279A"/>
    <w:rsid w:val="001627F1"/>
    <w:rsid w:val="00163EBC"/>
    <w:rsid w:val="00165802"/>
    <w:rsid w:val="00175224"/>
    <w:rsid w:val="00196AE8"/>
    <w:rsid w:val="001C1CBF"/>
    <w:rsid w:val="001D2057"/>
    <w:rsid w:val="001D4357"/>
    <w:rsid w:val="001E3927"/>
    <w:rsid w:val="001E77BD"/>
    <w:rsid w:val="001F11D8"/>
    <w:rsid w:val="001F1F00"/>
    <w:rsid w:val="001F3AE3"/>
    <w:rsid w:val="001F61DD"/>
    <w:rsid w:val="0020140B"/>
    <w:rsid w:val="002067C5"/>
    <w:rsid w:val="00213FF2"/>
    <w:rsid w:val="002229CC"/>
    <w:rsid w:val="00222D3F"/>
    <w:rsid w:val="00223918"/>
    <w:rsid w:val="00244B84"/>
    <w:rsid w:val="00256254"/>
    <w:rsid w:val="002567A0"/>
    <w:rsid w:val="00256D67"/>
    <w:rsid w:val="002632BC"/>
    <w:rsid w:val="00263B1A"/>
    <w:rsid w:val="00282F5F"/>
    <w:rsid w:val="00283CF9"/>
    <w:rsid w:val="00286B1C"/>
    <w:rsid w:val="00290061"/>
    <w:rsid w:val="00293E19"/>
    <w:rsid w:val="00295537"/>
    <w:rsid w:val="0029759F"/>
    <w:rsid w:val="00297FAD"/>
    <w:rsid w:val="002A23F9"/>
    <w:rsid w:val="002A29CF"/>
    <w:rsid w:val="002B39B9"/>
    <w:rsid w:val="002B5872"/>
    <w:rsid w:val="002C0B9C"/>
    <w:rsid w:val="002C3436"/>
    <w:rsid w:val="002C48BE"/>
    <w:rsid w:val="002C4C5A"/>
    <w:rsid w:val="002D56AD"/>
    <w:rsid w:val="002D796B"/>
    <w:rsid w:val="002E2EB2"/>
    <w:rsid w:val="002E4442"/>
    <w:rsid w:val="002E7D6C"/>
    <w:rsid w:val="002F2EC9"/>
    <w:rsid w:val="002F79A3"/>
    <w:rsid w:val="003001A0"/>
    <w:rsid w:val="003013FF"/>
    <w:rsid w:val="0031076B"/>
    <w:rsid w:val="00314B2F"/>
    <w:rsid w:val="00321CDF"/>
    <w:rsid w:val="00321D85"/>
    <w:rsid w:val="0034340F"/>
    <w:rsid w:val="00346930"/>
    <w:rsid w:val="003566AD"/>
    <w:rsid w:val="00381E5F"/>
    <w:rsid w:val="003A0055"/>
    <w:rsid w:val="003A0352"/>
    <w:rsid w:val="003B0F74"/>
    <w:rsid w:val="003B4856"/>
    <w:rsid w:val="003B67E5"/>
    <w:rsid w:val="003C0ED4"/>
    <w:rsid w:val="003C430A"/>
    <w:rsid w:val="003C4D86"/>
    <w:rsid w:val="003D4596"/>
    <w:rsid w:val="003D7886"/>
    <w:rsid w:val="003E142B"/>
    <w:rsid w:val="003E7194"/>
    <w:rsid w:val="003F2BFD"/>
    <w:rsid w:val="003F5886"/>
    <w:rsid w:val="003F6999"/>
    <w:rsid w:val="00401220"/>
    <w:rsid w:val="00413FE9"/>
    <w:rsid w:val="00421276"/>
    <w:rsid w:val="00427108"/>
    <w:rsid w:val="00431CA7"/>
    <w:rsid w:val="00453699"/>
    <w:rsid w:val="00460D0B"/>
    <w:rsid w:val="00465453"/>
    <w:rsid w:val="0046696D"/>
    <w:rsid w:val="00471C34"/>
    <w:rsid w:val="00477D02"/>
    <w:rsid w:val="004814D8"/>
    <w:rsid w:val="00485B85"/>
    <w:rsid w:val="004875A0"/>
    <w:rsid w:val="00491B08"/>
    <w:rsid w:val="004962A5"/>
    <w:rsid w:val="004A3ABB"/>
    <w:rsid w:val="004B059C"/>
    <w:rsid w:val="004B7323"/>
    <w:rsid w:val="004B74B1"/>
    <w:rsid w:val="004C0B71"/>
    <w:rsid w:val="004C20E0"/>
    <w:rsid w:val="004C2FD7"/>
    <w:rsid w:val="004C454D"/>
    <w:rsid w:val="004D01BD"/>
    <w:rsid w:val="004D24F5"/>
    <w:rsid w:val="004D5CAE"/>
    <w:rsid w:val="004D6D10"/>
    <w:rsid w:val="004E3912"/>
    <w:rsid w:val="004F66BF"/>
    <w:rsid w:val="004F7FFE"/>
    <w:rsid w:val="0050258C"/>
    <w:rsid w:val="00503EF1"/>
    <w:rsid w:val="00507673"/>
    <w:rsid w:val="00533A20"/>
    <w:rsid w:val="00534758"/>
    <w:rsid w:val="00535EC1"/>
    <w:rsid w:val="0054219D"/>
    <w:rsid w:val="00542C31"/>
    <w:rsid w:val="00553CA8"/>
    <w:rsid w:val="005573BD"/>
    <w:rsid w:val="00562EF7"/>
    <w:rsid w:val="00564FFF"/>
    <w:rsid w:val="00575B3E"/>
    <w:rsid w:val="00583F45"/>
    <w:rsid w:val="00590972"/>
    <w:rsid w:val="00590CB4"/>
    <w:rsid w:val="00590CF4"/>
    <w:rsid w:val="005A6747"/>
    <w:rsid w:val="005B451A"/>
    <w:rsid w:val="005B4C1D"/>
    <w:rsid w:val="005B6E76"/>
    <w:rsid w:val="005C6056"/>
    <w:rsid w:val="005D403C"/>
    <w:rsid w:val="005D4886"/>
    <w:rsid w:val="005E0666"/>
    <w:rsid w:val="005E1FBF"/>
    <w:rsid w:val="005E700D"/>
    <w:rsid w:val="005F19ED"/>
    <w:rsid w:val="005F3C56"/>
    <w:rsid w:val="00600389"/>
    <w:rsid w:val="00616789"/>
    <w:rsid w:val="00620909"/>
    <w:rsid w:val="00620E67"/>
    <w:rsid w:val="006323B6"/>
    <w:rsid w:val="006448DE"/>
    <w:rsid w:val="00652100"/>
    <w:rsid w:val="006543CA"/>
    <w:rsid w:val="0065654A"/>
    <w:rsid w:val="00666041"/>
    <w:rsid w:val="00666306"/>
    <w:rsid w:val="00673E07"/>
    <w:rsid w:val="006741FE"/>
    <w:rsid w:val="006935C0"/>
    <w:rsid w:val="00694CD2"/>
    <w:rsid w:val="00695BD7"/>
    <w:rsid w:val="006C73AC"/>
    <w:rsid w:val="006D26A1"/>
    <w:rsid w:val="006E1888"/>
    <w:rsid w:val="006E4CD1"/>
    <w:rsid w:val="006E55F3"/>
    <w:rsid w:val="006F14E7"/>
    <w:rsid w:val="006F51E2"/>
    <w:rsid w:val="00700427"/>
    <w:rsid w:val="00716A34"/>
    <w:rsid w:val="0072381B"/>
    <w:rsid w:val="007304A2"/>
    <w:rsid w:val="00735EB9"/>
    <w:rsid w:val="00737C1E"/>
    <w:rsid w:val="007402C9"/>
    <w:rsid w:val="0075073B"/>
    <w:rsid w:val="00752601"/>
    <w:rsid w:val="007542DD"/>
    <w:rsid w:val="0075553B"/>
    <w:rsid w:val="0076312D"/>
    <w:rsid w:val="007738B8"/>
    <w:rsid w:val="0078033E"/>
    <w:rsid w:val="00781916"/>
    <w:rsid w:val="00781D8F"/>
    <w:rsid w:val="00794292"/>
    <w:rsid w:val="0079690B"/>
    <w:rsid w:val="007A33DD"/>
    <w:rsid w:val="007A35E8"/>
    <w:rsid w:val="007A4C5C"/>
    <w:rsid w:val="007A5997"/>
    <w:rsid w:val="007C30BA"/>
    <w:rsid w:val="007C4161"/>
    <w:rsid w:val="007C6F02"/>
    <w:rsid w:val="007D2C21"/>
    <w:rsid w:val="007D76D1"/>
    <w:rsid w:val="007E18E6"/>
    <w:rsid w:val="0080592E"/>
    <w:rsid w:val="00810BF8"/>
    <w:rsid w:val="00817442"/>
    <w:rsid w:val="00820681"/>
    <w:rsid w:val="00824088"/>
    <w:rsid w:val="00825C66"/>
    <w:rsid w:val="00825EEF"/>
    <w:rsid w:val="00826C05"/>
    <w:rsid w:val="00826CFB"/>
    <w:rsid w:val="00831BA0"/>
    <w:rsid w:val="0083773C"/>
    <w:rsid w:val="0084589F"/>
    <w:rsid w:val="00851695"/>
    <w:rsid w:val="008569F5"/>
    <w:rsid w:val="00856F9E"/>
    <w:rsid w:val="00857D86"/>
    <w:rsid w:val="008617B1"/>
    <w:rsid w:val="0086425D"/>
    <w:rsid w:val="00866060"/>
    <w:rsid w:val="008760BD"/>
    <w:rsid w:val="0088439B"/>
    <w:rsid w:val="008874F8"/>
    <w:rsid w:val="00892714"/>
    <w:rsid w:val="0089776D"/>
    <w:rsid w:val="008A0152"/>
    <w:rsid w:val="008B5E1D"/>
    <w:rsid w:val="008B7367"/>
    <w:rsid w:val="008E4FA2"/>
    <w:rsid w:val="008E5D8D"/>
    <w:rsid w:val="0090015B"/>
    <w:rsid w:val="009242FC"/>
    <w:rsid w:val="00927436"/>
    <w:rsid w:val="00933A11"/>
    <w:rsid w:val="00944D20"/>
    <w:rsid w:val="00946907"/>
    <w:rsid w:val="0094762B"/>
    <w:rsid w:val="00954271"/>
    <w:rsid w:val="00984792"/>
    <w:rsid w:val="0098536B"/>
    <w:rsid w:val="00994DCA"/>
    <w:rsid w:val="009B0059"/>
    <w:rsid w:val="009C5DB1"/>
    <w:rsid w:val="009C7895"/>
    <w:rsid w:val="009D17BC"/>
    <w:rsid w:val="009D6617"/>
    <w:rsid w:val="009D7246"/>
    <w:rsid w:val="009E157D"/>
    <w:rsid w:val="009E3899"/>
    <w:rsid w:val="009E6FCB"/>
    <w:rsid w:val="009F077C"/>
    <w:rsid w:val="009F07E3"/>
    <w:rsid w:val="009F5A8D"/>
    <w:rsid w:val="00A00ECF"/>
    <w:rsid w:val="00A029D6"/>
    <w:rsid w:val="00A07127"/>
    <w:rsid w:val="00A16221"/>
    <w:rsid w:val="00A20AB4"/>
    <w:rsid w:val="00A23D23"/>
    <w:rsid w:val="00A33C3B"/>
    <w:rsid w:val="00A4212F"/>
    <w:rsid w:val="00A43C2E"/>
    <w:rsid w:val="00A4607D"/>
    <w:rsid w:val="00A56114"/>
    <w:rsid w:val="00A654AA"/>
    <w:rsid w:val="00A75522"/>
    <w:rsid w:val="00A77DDF"/>
    <w:rsid w:val="00A77E18"/>
    <w:rsid w:val="00A806F3"/>
    <w:rsid w:val="00A81915"/>
    <w:rsid w:val="00A9061E"/>
    <w:rsid w:val="00A91254"/>
    <w:rsid w:val="00AA084F"/>
    <w:rsid w:val="00AA425F"/>
    <w:rsid w:val="00AA711E"/>
    <w:rsid w:val="00AB7B5D"/>
    <w:rsid w:val="00AC1493"/>
    <w:rsid w:val="00AC163F"/>
    <w:rsid w:val="00AC34C0"/>
    <w:rsid w:val="00AC61FD"/>
    <w:rsid w:val="00AD1916"/>
    <w:rsid w:val="00AD4638"/>
    <w:rsid w:val="00AE3822"/>
    <w:rsid w:val="00AE6BFF"/>
    <w:rsid w:val="00B067CD"/>
    <w:rsid w:val="00B0752A"/>
    <w:rsid w:val="00B10432"/>
    <w:rsid w:val="00B13E43"/>
    <w:rsid w:val="00B253EE"/>
    <w:rsid w:val="00B32C7E"/>
    <w:rsid w:val="00B35CE4"/>
    <w:rsid w:val="00B40B92"/>
    <w:rsid w:val="00B45A6D"/>
    <w:rsid w:val="00B4684C"/>
    <w:rsid w:val="00B719CD"/>
    <w:rsid w:val="00B9483C"/>
    <w:rsid w:val="00B9509B"/>
    <w:rsid w:val="00BA6395"/>
    <w:rsid w:val="00BB1C73"/>
    <w:rsid w:val="00BB439A"/>
    <w:rsid w:val="00BB78EB"/>
    <w:rsid w:val="00BC12D7"/>
    <w:rsid w:val="00BC2895"/>
    <w:rsid w:val="00BD4706"/>
    <w:rsid w:val="00BD7BE1"/>
    <w:rsid w:val="00BE30DD"/>
    <w:rsid w:val="00BF0028"/>
    <w:rsid w:val="00BF16F6"/>
    <w:rsid w:val="00BF2416"/>
    <w:rsid w:val="00BF4D56"/>
    <w:rsid w:val="00C00AB7"/>
    <w:rsid w:val="00C10D88"/>
    <w:rsid w:val="00C23BD1"/>
    <w:rsid w:val="00C253A9"/>
    <w:rsid w:val="00C27FBA"/>
    <w:rsid w:val="00C30B41"/>
    <w:rsid w:val="00C32239"/>
    <w:rsid w:val="00C34EF8"/>
    <w:rsid w:val="00C35F88"/>
    <w:rsid w:val="00C42AC2"/>
    <w:rsid w:val="00C5270D"/>
    <w:rsid w:val="00C558E9"/>
    <w:rsid w:val="00C56F50"/>
    <w:rsid w:val="00C648B7"/>
    <w:rsid w:val="00C81AF1"/>
    <w:rsid w:val="00C92865"/>
    <w:rsid w:val="00CB1581"/>
    <w:rsid w:val="00CB18F3"/>
    <w:rsid w:val="00CB65BA"/>
    <w:rsid w:val="00CC49E5"/>
    <w:rsid w:val="00CD0857"/>
    <w:rsid w:val="00CD665A"/>
    <w:rsid w:val="00CE25C0"/>
    <w:rsid w:val="00CF57AC"/>
    <w:rsid w:val="00D002A2"/>
    <w:rsid w:val="00D0649A"/>
    <w:rsid w:val="00D066AC"/>
    <w:rsid w:val="00D06966"/>
    <w:rsid w:val="00D1443F"/>
    <w:rsid w:val="00D15B3C"/>
    <w:rsid w:val="00D20412"/>
    <w:rsid w:val="00D44A54"/>
    <w:rsid w:val="00D55178"/>
    <w:rsid w:val="00D55CC2"/>
    <w:rsid w:val="00D57094"/>
    <w:rsid w:val="00D64FB7"/>
    <w:rsid w:val="00D678B1"/>
    <w:rsid w:val="00D711A3"/>
    <w:rsid w:val="00D71DDF"/>
    <w:rsid w:val="00D71DF7"/>
    <w:rsid w:val="00D72196"/>
    <w:rsid w:val="00D75C64"/>
    <w:rsid w:val="00D80D76"/>
    <w:rsid w:val="00D83952"/>
    <w:rsid w:val="00D91B25"/>
    <w:rsid w:val="00D9523F"/>
    <w:rsid w:val="00DA5E10"/>
    <w:rsid w:val="00DB2712"/>
    <w:rsid w:val="00DB3635"/>
    <w:rsid w:val="00DB6E6A"/>
    <w:rsid w:val="00DD3026"/>
    <w:rsid w:val="00DD7D68"/>
    <w:rsid w:val="00DD7ECB"/>
    <w:rsid w:val="00DF76AB"/>
    <w:rsid w:val="00E00B2D"/>
    <w:rsid w:val="00E0120A"/>
    <w:rsid w:val="00E0655E"/>
    <w:rsid w:val="00E1459E"/>
    <w:rsid w:val="00E21D28"/>
    <w:rsid w:val="00E238F8"/>
    <w:rsid w:val="00E258A5"/>
    <w:rsid w:val="00E26B49"/>
    <w:rsid w:val="00E32558"/>
    <w:rsid w:val="00E407C1"/>
    <w:rsid w:val="00E40DA4"/>
    <w:rsid w:val="00E61791"/>
    <w:rsid w:val="00E622D1"/>
    <w:rsid w:val="00E759DA"/>
    <w:rsid w:val="00E9256F"/>
    <w:rsid w:val="00EA088E"/>
    <w:rsid w:val="00EB003B"/>
    <w:rsid w:val="00EB258B"/>
    <w:rsid w:val="00EC3FDE"/>
    <w:rsid w:val="00EE0713"/>
    <w:rsid w:val="00EE3395"/>
    <w:rsid w:val="00EF09A8"/>
    <w:rsid w:val="00F0664B"/>
    <w:rsid w:val="00F07680"/>
    <w:rsid w:val="00F1400E"/>
    <w:rsid w:val="00F1405A"/>
    <w:rsid w:val="00F1782E"/>
    <w:rsid w:val="00F205A1"/>
    <w:rsid w:val="00F23B8E"/>
    <w:rsid w:val="00F24AEB"/>
    <w:rsid w:val="00F256AC"/>
    <w:rsid w:val="00F256B7"/>
    <w:rsid w:val="00F338CC"/>
    <w:rsid w:val="00F40CF5"/>
    <w:rsid w:val="00F61B16"/>
    <w:rsid w:val="00F63392"/>
    <w:rsid w:val="00F76B5F"/>
    <w:rsid w:val="00F77C94"/>
    <w:rsid w:val="00F832FD"/>
    <w:rsid w:val="00F87BA7"/>
    <w:rsid w:val="00F90406"/>
    <w:rsid w:val="00F91DF1"/>
    <w:rsid w:val="00FA6A95"/>
    <w:rsid w:val="00FA6C4F"/>
    <w:rsid w:val="00FB3545"/>
    <w:rsid w:val="00FB442B"/>
    <w:rsid w:val="00FB45A0"/>
    <w:rsid w:val="00FB5C1C"/>
    <w:rsid w:val="00FD02C6"/>
    <w:rsid w:val="00FD3702"/>
    <w:rsid w:val="00FD6F7C"/>
    <w:rsid w:val="00FD725A"/>
    <w:rsid w:val="00FD7FE8"/>
    <w:rsid w:val="00FE26F9"/>
    <w:rsid w:val="00FF2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640A2B11"/>
  <w15:docId w15:val="{024ADCAB-5858-4804-A80E-2E199553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line="235"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qFormat="1"/>
    <w:lsdException w:name="List Bullet 3" w:uiPriority="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B1"/>
    <w:pPr>
      <w:spacing w:after="100"/>
    </w:pPr>
    <w:rPr>
      <w:rFonts w:ascii="Segoe UI Semilight" w:eastAsia="Times New Roman" w:hAnsi="Segoe UI Semilight" w:cs="Times New Roman"/>
      <w:lang w:eastAsia="en-US"/>
    </w:rPr>
  </w:style>
  <w:style w:type="paragraph" w:styleId="Heading1">
    <w:name w:val="heading 1"/>
    <w:basedOn w:val="Normal"/>
    <w:next w:val="Normal"/>
    <w:link w:val="Heading1Char"/>
    <w:uiPriority w:val="1"/>
    <w:qFormat/>
    <w:rsid w:val="00620E67"/>
    <w:pPr>
      <w:keepNext/>
      <w:pageBreakBefore/>
      <w:numPr>
        <w:numId w:val="21"/>
      </w:numPr>
      <w:spacing w:line="192" w:lineRule="auto"/>
      <w:ind w:left="851" w:hanging="851"/>
      <w:outlineLvl w:val="0"/>
    </w:pPr>
    <w:rPr>
      <w:rFonts w:ascii="Segoe UI" w:eastAsiaTheme="majorEastAsia" w:hAnsi="Segoe UI" w:cs="Segoe UI"/>
      <w:b/>
      <w:sz w:val="60"/>
      <w:szCs w:val="32"/>
    </w:rPr>
  </w:style>
  <w:style w:type="paragraph" w:styleId="Heading2">
    <w:name w:val="heading 2"/>
    <w:next w:val="Normal"/>
    <w:link w:val="Heading2Char"/>
    <w:uiPriority w:val="1"/>
    <w:qFormat/>
    <w:rsid w:val="00F40CF5"/>
    <w:pPr>
      <w:keepNext/>
      <w:numPr>
        <w:ilvl w:val="1"/>
        <w:numId w:val="7"/>
      </w:numPr>
      <w:pBdr>
        <w:bottom w:val="single" w:sz="2" w:space="3" w:color="00A9E0" w:themeColor="text2"/>
      </w:pBdr>
      <w:spacing w:before="360" w:after="60"/>
      <w:outlineLvl w:val="1"/>
    </w:pPr>
    <w:rPr>
      <w:rFonts w:ascii="Segoe UI" w:hAnsi="Segoe UI"/>
      <w:b/>
      <w:color w:val="00A9E0" w:themeColor="text2"/>
      <w:sz w:val="24"/>
    </w:rPr>
  </w:style>
  <w:style w:type="paragraph" w:styleId="Heading3">
    <w:name w:val="heading 3"/>
    <w:next w:val="Normal"/>
    <w:link w:val="Heading3Char"/>
    <w:uiPriority w:val="1"/>
    <w:qFormat/>
    <w:rsid w:val="00BC12D7"/>
    <w:pPr>
      <w:keepNext/>
      <w:numPr>
        <w:ilvl w:val="2"/>
        <w:numId w:val="7"/>
      </w:numPr>
      <w:spacing w:before="100"/>
      <w:outlineLvl w:val="2"/>
    </w:pPr>
    <w:rPr>
      <w:rFonts w:ascii="Segoe UI" w:hAnsi="Segoe UI"/>
      <w:b/>
    </w:rPr>
  </w:style>
  <w:style w:type="paragraph" w:styleId="Heading4">
    <w:name w:val="heading 4"/>
    <w:basedOn w:val="Normal"/>
    <w:next w:val="Normal"/>
    <w:link w:val="Heading4Char"/>
    <w:uiPriority w:val="9"/>
    <w:semiHidden/>
    <w:qFormat/>
    <w:rsid w:val="00283CF9"/>
    <w:pPr>
      <w:spacing w:after="0"/>
      <w:outlineLvl w:val="3"/>
    </w:pPr>
    <w:rPr>
      <w:b/>
    </w:rPr>
  </w:style>
  <w:style w:type="paragraph" w:styleId="Heading7">
    <w:name w:val="heading 7"/>
    <w:basedOn w:val="Normal"/>
    <w:next w:val="Normal"/>
    <w:link w:val="Heading7Char"/>
    <w:uiPriority w:val="9"/>
    <w:semiHidden/>
    <w:qFormat/>
    <w:rsid w:val="005F3C5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C3E7F"/>
    <w:rPr>
      <w:rFonts w:ascii="Segoe UI" w:hAnsi="Segoe UI"/>
      <w:b/>
    </w:rPr>
  </w:style>
  <w:style w:type="paragraph" w:styleId="TOC2">
    <w:name w:val="toc 2"/>
    <w:basedOn w:val="Normal"/>
    <w:next w:val="Normal"/>
    <w:autoRedefine/>
    <w:uiPriority w:val="39"/>
    <w:rsid w:val="000C3E7F"/>
    <w:pPr>
      <w:tabs>
        <w:tab w:val="left" w:pos="567"/>
        <w:tab w:val="right" w:pos="8505"/>
      </w:tabs>
      <w:spacing w:before="100" w:after="0"/>
      <w:ind w:left="567"/>
    </w:pPr>
    <w:rPr>
      <w:noProof/>
      <w:color w:val="00685B" w:themeColor="accent3"/>
      <w:sz w:val="28"/>
      <w:szCs w:val="28"/>
    </w:rPr>
  </w:style>
  <w:style w:type="paragraph" w:styleId="Header">
    <w:name w:val="header"/>
    <w:basedOn w:val="Normal"/>
    <w:link w:val="HeaderChar"/>
    <w:uiPriority w:val="99"/>
    <w:rsid w:val="00427108"/>
    <w:pPr>
      <w:tabs>
        <w:tab w:val="center" w:pos="4513"/>
        <w:tab w:val="right" w:pos="9026"/>
      </w:tabs>
      <w:spacing w:after="0"/>
    </w:pPr>
    <w:rPr>
      <w:sz w:val="14"/>
      <w:szCs w:val="14"/>
    </w:rPr>
  </w:style>
  <w:style w:type="character" w:customStyle="1" w:styleId="HeaderChar">
    <w:name w:val="Header Char"/>
    <w:basedOn w:val="DefaultParagraphFont"/>
    <w:link w:val="Header"/>
    <w:uiPriority w:val="99"/>
    <w:rsid w:val="00427108"/>
    <w:rPr>
      <w:sz w:val="14"/>
      <w:szCs w:val="14"/>
    </w:rPr>
  </w:style>
  <w:style w:type="paragraph" w:styleId="Footer">
    <w:name w:val="footer"/>
    <w:basedOn w:val="Normal"/>
    <w:link w:val="FooterChar"/>
    <w:uiPriority w:val="99"/>
    <w:qFormat/>
    <w:rsid w:val="004B059C"/>
    <w:pPr>
      <w:spacing w:after="0"/>
    </w:pPr>
    <w:rPr>
      <w:color w:val="00A9E0" w:themeColor="text2"/>
      <w:sz w:val="14"/>
    </w:rPr>
  </w:style>
  <w:style w:type="character" w:customStyle="1" w:styleId="FooterChar">
    <w:name w:val="Footer Char"/>
    <w:basedOn w:val="DefaultParagraphFont"/>
    <w:link w:val="Footer"/>
    <w:uiPriority w:val="99"/>
    <w:rsid w:val="00427108"/>
    <w:rPr>
      <w:color w:val="00A9E0" w:themeColor="text2"/>
      <w:sz w:val="14"/>
    </w:rPr>
  </w:style>
  <w:style w:type="paragraph" w:customStyle="1" w:styleId="Heading1NotNumbered">
    <w:name w:val="Heading 1 Not Numbered"/>
    <w:basedOn w:val="Heading1"/>
    <w:next w:val="Normal"/>
    <w:uiPriority w:val="1"/>
    <w:qFormat/>
    <w:rsid w:val="009F07E3"/>
    <w:pPr>
      <w:numPr>
        <w:numId w:val="0"/>
      </w:numPr>
    </w:pPr>
  </w:style>
  <w:style w:type="table" w:styleId="TableGrid">
    <w:name w:val="Table Grid"/>
    <w:basedOn w:val="TableNormal"/>
    <w:uiPriority w:val="39"/>
    <w:rsid w:val="00652100"/>
    <w:tblPr>
      <w:tblCellMar>
        <w:left w:w="0" w:type="dxa"/>
        <w:right w:w="0" w:type="dxa"/>
      </w:tblCellMar>
    </w:tblPr>
    <w:tblStylePr w:type="firstRow">
      <w:rPr>
        <w:rFonts w:asciiTheme="minorHAnsi" w:hAnsiTheme="minorHAnsi"/>
        <w:b w:val="0"/>
        <w:sz w:val="20"/>
      </w:rPr>
    </w:tblStylePr>
  </w:style>
  <w:style w:type="paragraph" w:customStyle="1" w:styleId="CoverHeading">
    <w:name w:val="Cover Heading"/>
    <w:basedOn w:val="Normal"/>
    <w:uiPriority w:val="9"/>
    <w:qFormat/>
    <w:rsid w:val="00485B85"/>
    <w:pPr>
      <w:spacing w:after="880"/>
    </w:pPr>
    <w:rPr>
      <w:b/>
      <w:sz w:val="56"/>
    </w:rPr>
  </w:style>
  <w:style w:type="paragraph" w:customStyle="1" w:styleId="CoverSubHeading">
    <w:name w:val="Cover Sub Heading"/>
    <w:basedOn w:val="Normal"/>
    <w:uiPriority w:val="9"/>
    <w:qFormat/>
    <w:rsid w:val="003A0352"/>
    <w:pPr>
      <w:spacing w:after="0"/>
    </w:pPr>
    <w:rPr>
      <w:b/>
      <w:sz w:val="36"/>
    </w:rPr>
  </w:style>
  <w:style w:type="paragraph" w:customStyle="1" w:styleId="CoverDate">
    <w:name w:val="Cover Date"/>
    <w:basedOn w:val="Normal"/>
    <w:uiPriority w:val="9"/>
    <w:qFormat/>
    <w:rsid w:val="003A0352"/>
    <w:rPr>
      <w:sz w:val="28"/>
    </w:rPr>
  </w:style>
  <w:style w:type="character" w:customStyle="1" w:styleId="Heading1Char">
    <w:name w:val="Heading 1 Char"/>
    <w:basedOn w:val="DefaultParagraphFont"/>
    <w:link w:val="Heading1"/>
    <w:uiPriority w:val="1"/>
    <w:rsid w:val="00620E67"/>
    <w:rPr>
      <w:rFonts w:ascii="Segoe UI" w:eastAsiaTheme="majorEastAsia" w:hAnsi="Segoe UI" w:cs="Segoe UI"/>
      <w:b/>
      <w:sz w:val="60"/>
      <w:szCs w:val="32"/>
      <w:lang w:eastAsia="en-US"/>
    </w:rPr>
  </w:style>
  <w:style w:type="paragraph" w:customStyle="1" w:styleId="LeadParagraph">
    <w:name w:val="Lead Paragraph"/>
    <w:basedOn w:val="Normal"/>
    <w:uiPriority w:val="9"/>
    <w:qFormat/>
    <w:rsid w:val="00AB7B5D"/>
    <w:pPr>
      <w:spacing w:after="120"/>
    </w:pPr>
    <w:rPr>
      <w:rFonts w:ascii="Segoe UI" w:hAnsi="Segoe UI" w:cs="Segoe UI"/>
      <w:b/>
      <w:szCs w:val="28"/>
    </w:rPr>
  </w:style>
  <w:style w:type="character" w:styleId="FollowedHyperlink">
    <w:name w:val="FollowedHyperlink"/>
    <w:basedOn w:val="DefaultParagraphFont"/>
    <w:uiPriority w:val="99"/>
    <w:rsid w:val="00716A34"/>
    <w:rPr>
      <w:color w:val="000000" w:themeColor="text1"/>
      <w:u w:val="none"/>
    </w:rPr>
  </w:style>
  <w:style w:type="character" w:styleId="Hyperlink">
    <w:name w:val="Hyperlink"/>
    <w:basedOn w:val="DefaultParagraphFont"/>
    <w:uiPriority w:val="99"/>
    <w:rsid w:val="00716A34"/>
    <w:rPr>
      <w:color w:val="000000" w:themeColor="text1"/>
      <w:u w:val="none"/>
    </w:rPr>
  </w:style>
  <w:style w:type="character" w:customStyle="1" w:styleId="Heading2Char">
    <w:name w:val="Heading 2 Char"/>
    <w:basedOn w:val="DefaultParagraphFont"/>
    <w:link w:val="Heading2"/>
    <w:uiPriority w:val="1"/>
    <w:rsid w:val="00F40CF5"/>
    <w:rPr>
      <w:rFonts w:ascii="Segoe UI" w:hAnsi="Segoe UI"/>
      <w:b/>
      <w:color w:val="00A9E0" w:themeColor="text2"/>
      <w:sz w:val="24"/>
    </w:rPr>
  </w:style>
  <w:style w:type="character" w:customStyle="1" w:styleId="Heading3Char">
    <w:name w:val="Heading 3 Char"/>
    <w:basedOn w:val="DefaultParagraphFont"/>
    <w:link w:val="Heading3"/>
    <w:uiPriority w:val="1"/>
    <w:rsid w:val="00BC12D7"/>
    <w:rPr>
      <w:rFonts w:ascii="Segoe UI" w:hAnsi="Segoe UI"/>
      <w:b/>
    </w:rPr>
  </w:style>
  <w:style w:type="paragraph" w:customStyle="1" w:styleId="CallOutHeading">
    <w:name w:val="Call Out Heading"/>
    <w:basedOn w:val="Normal"/>
    <w:uiPriority w:val="9"/>
    <w:qFormat/>
    <w:rsid w:val="006323B6"/>
    <w:pPr>
      <w:framePr w:w="2467" w:wrap="around" w:vAnchor="text" w:hAnchor="page" w:x="710" w:y="-67"/>
      <w:pBdr>
        <w:top w:val="single" w:sz="2" w:space="8" w:color="00685B" w:themeColor="accent3"/>
        <w:bottom w:val="single" w:sz="2" w:space="0" w:color="00685B" w:themeColor="accent3"/>
      </w:pBdr>
      <w:spacing w:after="80"/>
      <w:contextualSpacing/>
    </w:pPr>
    <w:rPr>
      <w:b/>
      <w:color w:val="00685B" w:themeColor="accent3"/>
      <w:spacing w:val="-4"/>
      <w:sz w:val="40"/>
    </w:rPr>
  </w:style>
  <w:style w:type="paragraph" w:customStyle="1" w:styleId="CallOutTextUnderHeading">
    <w:name w:val="Call Out Text Under Heading"/>
    <w:basedOn w:val="CallOutHeading"/>
    <w:uiPriority w:val="9"/>
    <w:qFormat/>
    <w:rsid w:val="00314B2F"/>
    <w:pPr>
      <w:framePr w:wrap="around"/>
      <w:pBdr>
        <w:top w:val="none" w:sz="0" w:space="0" w:color="auto"/>
        <w:bottom w:val="none" w:sz="0" w:space="0" w:color="auto"/>
      </w:pBdr>
      <w:spacing w:after="0" w:line="204" w:lineRule="auto"/>
      <w:contextualSpacing w:val="0"/>
    </w:pPr>
    <w:rPr>
      <w:rFonts w:asciiTheme="minorHAnsi" w:hAnsiTheme="minorHAnsi" w:cstheme="minorHAnsi"/>
      <w:b w:val="0"/>
      <w:sz w:val="28"/>
      <w:szCs w:val="28"/>
    </w:rPr>
  </w:style>
  <w:style w:type="paragraph" w:styleId="BalloonText">
    <w:name w:val="Balloon Text"/>
    <w:basedOn w:val="Normal"/>
    <w:link w:val="BalloonTextChar"/>
    <w:uiPriority w:val="99"/>
    <w:semiHidden/>
    <w:unhideWhenUsed/>
    <w:rsid w:val="00282F5F"/>
    <w:rPr>
      <w:rFonts w:ascii="Tahoma" w:hAnsi="Tahoma" w:cs="Tahoma"/>
      <w:sz w:val="16"/>
      <w:szCs w:val="16"/>
    </w:rPr>
  </w:style>
  <w:style w:type="character" w:customStyle="1" w:styleId="BalloonTextChar">
    <w:name w:val="Balloon Text Char"/>
    <w:basedOn w:val="DefaultParagraphFont"/>
    <w:link w:val="BalloonText"/>
    <w:uiPriority w:val="99"/>
    <w:semiHidden/>
    <w:rsid w:val="00282F5F"/>
    <w:rPr>
      <w:rFonts w:ascii="Tahoma" w:hAnsi="Tahoma" w:cs="Tahoma"/>
      <w:sz w:val="16"/>
      <w:szCs w:val="16"/>
    </w:rPr>
  </w:style>
  <w:style w:type="paragraph" w:styleId="TOC1">
    <w:name w:val="toc 1"/>
    <w:basedOn w:val="Normal"/>
    <w:next w:val="Normal"/>
    <w:autoRedefine/>
    <w:uiPriority w:val="39"/>
    <w:rsid w:val="000C3E7F"/>
    <w:pPr>
      <w:tabs>
        <w:tab w:val="left" w:pos="567"/>
        <w:tab w:val="right" w:pos="8505"/>
      </w:tabs>
      <w:spacing w:before="100" w:after="0"/>
      <w:jc w:val="both"/>
    </w:pPr>
    <w:rPr>
      <w:rFonts w:eastAsiaTheme="minorHAnsi"/>
      <w:b/>
      <w:noProof/>
      <w:color w:val="00685B" w:themeColor="accent3"/>
      <w:sz w:val="28"/>
    </w:rPr>
  </w:style>
  <w:style w:type="paragraph" w:customStyle="1" w:styleId="Disclaimer">
    <w:name w:val="Disclaimer"/>
    <w:basedOn w:val="Normal"/>
    <w:uiPriority w:val="9"/>
    <w:qFormat/>
    <w:rsid w:val="006323B6"/>
    <w:pPr>
      <w:spacing w:line="233" w:lineRule="auto"/>
    </w:pPr>
    <w:rPr>
      <w:rFonts w:cs="Segoe UI"/>
      <w:color w:val="00685B" w:themeColor="accent3"/>
      <w:sz w:val="14"/>
      <w:szCs w:val="14"/>
    </w:rPr>
  </w:style>
  <w:style w:type="paragraph" w:styleId="TOCHeading">
    <w:name w:val="TOC Heading"/>
    <w:next w:val="Normal"/>
    <w:uiPriority w:val="9"/>
    <w:qFormat/>
    <w:rsid w:val="006323B6"/>
    <w:pPr>
      <w:spacing w:after="2040" w:line="240" w:lineRule="auto"/>
      <w:contextualSpacing/>
    </w:pPr>
    <w:rPr>
      <w:rFonts w:ascii="Segoe UI" w:eastAsiaTheme="majorEastAsia" w:hAnsi="Segoe UI" w:cs="Segoe UI"/>
      <w:b/>
      <w:bCs/>
      <w:color w:val="00685B" w:themeColor="accent3"/>
      <w:spacing w:val="-1"/>
      <w:sz w:val="60"/>
      <w:szCs w:val="60"/>
    </w:rPr>
  </w:style>
  <w:style w:type="numbering" w:customStyle="1" w:styleId="Style1">
    <w:name w:val="Style1"/>
    <w:uiPriority w:val="99"/>
    <w:rsid w:val="0086425D"/>
    <w:pPr>
      <w:numPr>
        <w:numId w:val="8"/>
      </w:numPr>
    </w:pPr>
  </w:style>
  <w:style w:type="paragraph" w:customStyle="1" w:styleId="CallOutHeadingUnderImage">
    <w:name w:val="Call Out Heading Under Image"/>
    <w:uiPriority w:val="9"/>
    <w:qFormat/>
    <w:rsid w:val="006323B6"/>
    <w:pPr>
      <w:framePr w:hSpace="227" w:wrap="around" w:vAnchor="page" w:hAnchor="page" w:x="681" w:y="3346"/>
    </w:pPr>
    <w:rPr>
      <w:rFonts w:ascii="Segoe UI" w:hAnsi="Segoe UI"/>
      <w:b/>
      <w:color w:val="00685B" w:themeColor="accent3"/>
      <w:spacing w:val="-4"/>
      <w:sz w:val="40"/>
      <w:szCs w:val="40"/>
    </w:rPr>
  </w:style>
  <w:style w:type="paragraph" w:styleId="ListBullet">
    <w:name w:val="List Bullet"/>
    <w:basedOn w:val="Normal"/>
    <w:uiPriority w:val="9"/>
    <w:qFormat/>
    <w:rsid w:val="000E250C"/>
    <w:pPr>
      <w:numPr>
        <w:numId w:val="14"/>
      </w:numPr>
    </w:pPr>
  </w:style>
  <w:style w:type="paragraph" w:styleId="ListBullet2">
    <w:name w:val="List Bullet 2"/>
    <w:basedOn w:val="ListBullet"/>
    <w:uiPriority w:val="9"/>
    <w:qFormat/>
    <w:rsid w:val="000E250C"/>
    <w:pPr>
      <w:numPr>
        <w:ilvl w:val="1"/>
      </w:numPr>
    </w:pPr>
  </w:style>
  <w:style w:type="paragraph" w:styleId="ListBullet3">
    <w:name w:val="List Bullet 3"/>
    <w:basedOn w:val="ListBullet2"/>
    <w:uiPriority w:val="9"/>
    <w:qFormat/>
    <w:rsid w:val="000E250C"/>
    <w:pPr>
      <w:numPr>
        <w:ilvl w:val="2"/>
      </w:numPr>
    </w:pPr>
  </w:style>
  <w:style w:type="paragraph" w:customStyle="1" w:styleId="CallOutTextUnderImage">
    <w:name w:val="Call Out Text Under Image"/>
    <w:basedOn w:val="LeadParagraph"/>
    <w:uiPriority w:val="9"/>
    <w:qFormat/>
    <w:rsid w:val="006323B6"/>
    <w:pPr>
      <w:framePr w:hSpace="227" w:wrap="around" w:vAnchor="page" w:hAnchor="page" w:x="681" w:y="3346"/>
      <w:spacing w:before="80" w:after="0" w:line="204" w:lineRule="auto"/>
      <w:contextualSpacing/>
    </w:pPr>
    <w:rPr>
      <w:rFonts w:asciiTheme="minorHAnsi" w:hAnsiTheme="minorHAnsi" w:cstheme="minorHAnsi"/>
      <w:b w:val="0"/>
      <w:color w:val="00685B" w:themeColor="accent3"/>
      <w:sz w:val="28"/>
    </w:rPr>
  </w:style>
  <w:style w:type="paragraph" w:customStyle="1" w:styleId="CallOutText">
    <w:name w:val="Call Out Text"/>
    <w:basedOn w:val="CallOutHeading"/>
    <w:uiPriority w:val="9"/>
    <w:qFormat/>
    <w:rsid w:val="006323B6"/>
    <w:pPr>
      <w:framePr w:wrap="around"/>
      <w:pBdr>
        <w:top w:val="single" w:sz="2" w:space="12" w:color="00685B" w:themeColor="accent3"/>
      </w:pBdr>
    </w:pPr>
    <w:rPr>
      <w:rFonts w:asciiTheme="minorHAnsi" w:hAnsiTheme="minorHAnsi" w:cstheme="minorHAnsi"/>
      <w:b w:val="0"/>
      <w:sz w:val="28"/>
      <w:szCs w:val="28"/>
    </w:rPr>
  </w:style>
  <w:style w:type="paragraph" w:customStyle="1" w:styleId="CallOutQuote">
    <w:name w:val="Call Out Quote"/>
    <w:basedOn w:val="CallOutText"/>
    <w:uiPriority w:val="9"/>
    <w:qFormat/>
    <w:rsid w:val="006323B6"/>
    <w:pPr>
      <w:framePr w:wrap="around"/>
      <w:ind w:left="113" w:hanging="113"/>
    </w:pPr>
    <w:rPr>
      <w:i/>
    </w:rPr>
  </w:style>
  <w:style w:type="paragraph" w:customStyle="1" w:styleId="Heading1Continued">
    <w:name w:val="Heading 1 Continued"/>
    <w:uiPriority w:val="1"/>
    <w:qFormat/>
    <w:rsid w:val="00AB7B5D"/>
    <w:pPr>
      <w:keepNext/>
      <w:pageBreakBefore/>
      <w:framePr w:w="7853" w:h="2268" w:hRule="exact" w:wrap="around" w:vAnchor="text" w:hAnchor="page" w:x="730" w:y="-320"/>
      <w:spacing w:line="204" w:lineRule="auto"/>
    </w:pPr>
    <w:rPr>
      <w:rFonts w:ascii="Segoe UI" w:eastAsiaTheme="majorEastAsia" w:hAnsi="Segoe UI" w:cstheme="majorBidi"/>
      <w:b/>
      <w:sz w:val="32"/>
      <w:szCs w:val="32"/>
    </w:rPr>
  </w:style>
  <w:style w:type="character" w:customStyle="1" w:styleId="Continued">
    <w:name w:val="Continued"/>
    <w:basedOn w:val="DefaultParagraphFont"/>
    <w:uiPriority w:val="9"/>
    <w:qFormat/>
    <w:rsid w:val="005E0666"/>
    <w:rPr>
      <w:rFonts w:asciiTheme="minorHAnsi" w:hAnsiTheme="minorHAnsi" w:cstheme="minorHAnsi"/>
    </w:rPr>
  </w:style>
  <w:style w:type="table" w:customStyle="1" w:styleId="XPSTABLE01">
    <w:name w:val="XPS_TABLE_01"/>
    <w:basedOn w:val="TableGrid"/>
    <w:uiPriority w:val="99"/>
    <w:rsid w:val="001E3927"/>
    <w:pPr>
      <w:contextualSpacing/>
    </w:pPr>
    <w:tblPr>
      <w:tblStyleColBandSize w:val="1"/>
      <w:tblBorders>
        <w:top w:val="single" w:sz="2" w:space="0" w:color="000000" w:themeColor="text1"/>
        <w:bottom w:val="single" w:sz="2" w:space="0" w:color="000000" w:themeColor="text1"/>
        <w:insideH w:val="single" w:sz="2" w:space="0" w:color="000000" w:themeColor="text1"/>
      </w:tblBorders>
      <w:tblCellMar>
        <w:bottom w:w="17" w:type="dxa"/>
      </w:tblCellMar>
    </w:tblPr>
    <w:tblStylePr w:type="firstRow">
      <w:pPr>
        <w:jc w:val="left"/>
      </w:pPr>
      <w:rPr>
        <w:rFonts w:ascii="Segoe UI" w:hAnsi="Segoe UI"/>
        <w:b/>
        <w:sz w:val="14"/>
      </w:rPr>
      <w:tblPr/>
      <w:tcPr>
        <w:shd w:val="clear" w:color="auto" w:fill="FFFFFF" w:themeFill="background1"/>
      </w:tcPr>
    </w:tblStylePr>
    <w:tblStylePr w:type="lastRow">
      <w:rPr>
        <w:rFonts w:ascii="Segoe UI" w:hAnsi="Segoe UI"/>
        <w:b/>
      </w:rPr>
    </w:tblStylePr>
    <w:tblStylePr w:type="firstCol">
      <w:rPr>
        <w:rFonts w:asciiTheme="minorHAnsi" w:hAnsiTheme="minorHAnsi"/>
        <w:b w:val="0"/>
      </w:rPr>
    </w:tblStylePr>
    <w:tblStylePr w:type="band1Vert">
      <w:pPr>
        <w:wordWrap/>
        <w:ind w:rightChars="0" w:right="57"/>
        <w:jc w:val="right"/>
      </w:pPr>
      <w:tblPr/>
      <w:tcPr>
        <w:shd w:val="clear" w:color="auto" w:fill="BFBFBF" w:themeFill="background1" w:themeFillShade="BF"/>
      </w:tcPr>
    </w:tblStylePr>
    <w:tblStylePr w:type="band2Vert">
      <w:pPr>
        <w:wordWrap/>
        <w:ind w:rightChars="0" w:right="57"/>
        <w:jc w:val="right"/>
      </w:pPr>
      <w:tblPr/>
      <w:tcPr>
        <w:shd w:val="clear" w:color="auto" w:fill="D9D9D9" w:themeFill="background1" w:themeFillShade="D9"/>
      </w:tcPr>
    </w:tblStylePr>
  </w:style>
  <w:style w:type="character" w:customStyle="1" w:styleId="TableHeaderSemiLight">
    <w:name w:val="Table Header SemiLight"/>
    <w:basedOn w:val="DefaultParagraphFont"/>
    <w:uiPriority w:val="9"/>
    <w:qFormat/>
    <w:rsid w:val="00825C66"/>
    <w:rPr>
      <w:rFonts w:asciiTheme="minorHAnsi" w:hAnsiTheme="minorHAnsi"/>
      <w:b/>
      <w:sz w:val="14"/>
    </w:rPr>
  </w:style>
  <w:style w:type="character" w:customStyle="1" w:styleId="TableBlueBold">
    <w:name w:val="Table Blue Bold"/>
    <w:basedOn w:val="DefaultParagraphFont"/>
    <w:uiPriority w:val="9"/>
    <w:qFormat/>
    <w:rsid w:val="00825C66"/>
    <w:rPr>
      <w:rFonts w:ascii="Segoe UI" w:hAnsi="Segoe UI" w:cs="Segoe UI"/>
      <w:b/>
      <w:color w:val="00A9E0" w:themeColor="text2"/>
    </w:rPr>
  </w:style>
  <w:style w:type="character" w:customStyle="1" w:styleId="TableBold">
    <w:name w:val="Table Bold"/>
    <w:basedOn w:val="DefaultParagraphFont"/>
    <w:uiPriority w:val="9"/>
    <w:qFormat/>
    <w:rsid w:val="00825C66"/>
    <w:rPr>
      <w:rFonts w:ascii="Segoe UI" w:hAnsi="Segoe UI" w:cs="Segoe UI"/>
      <w:b/>
    </w:rPr>
  </w:style>
  <w:style w:type="character" w:customStyle="1" w:styleId="TableSmallerSemiLight">
    <w:name w:val="Table Smaller SemiLight"/>
    <w:basedOn w:val="DefaultParagraphFont"/>
    <w:uiPriority w:val="9"/>
    <w:qFormat/>
    <w:rsid w:val="003A0352"/>
    <w:rPr>
      <w:rFonts w:asciiTheme="minorHAnsi" w:hAnsiTheme="minorHAnsi"/>
      <w:sz w:val="14"/>
      <w:szCs w:val="14"/>
    </w:rPr>
  </w:style>
  <w:style w:type="character" w:customStyle="1" w:styleId="TableSpacerRow">
    <w:name w:val="Table Spacer Row"/>
    <w:basedOn w:val="TableBold"/>
    <w:uiPriority w:val="9"/>
    <w:qFormat/>
    <w:rsid w:val="003A0352"/>
    <w:rPr>
      <w:rFonts w:ascii="Segoe UI" w:hAnsi="Segoe UI" w:cs="Segoe UI"/>
      <w:b/>
      <w:sz w:val="8"/>
      <w:szCs w:val="8"/>
    </w:rPr>
  </w:style>
  <w:style w:type="paragraph" w:styleId="NoSpacing">
    <w:name w:val="No Spacing"/>
    <w:uiPriority w:val="9"/>
    <w:qFormat/>
    <w:rsid w:val="00FA6C4F"/>
  </w:style>
  <w:style w:type="character" w:styleId="PageNumber">
    <w:name w:val="page number"/>
    <w:basedOn w:val="DefaultParagraphFont"/>
    <w:uiPriority w:val="99"/>
    <w:qFormat/>
    <w:rsid w:val="004B059C"/>
    <w:rPr>
      <w:rFonts w:ascii="Segoe UI" w:hAnsi="Segoe UI"/>
      <w:b/>
      <w:color w:val="00A9E0" w:themeColor="text2"/>
    </w:rPr>
  </w:style>
  <w:style w:type="paragraph" w:styleId="TOC3">
    <w:name w:val="toc 3"/>
    <w:basedOn w:val="Normal"/>
    <w:next w:val="Normal"/>
    <w:autoRedefine/>
    <w:uiPriority w:val="39"/>
    <w:unhideWhenUsed/>
    <w:rsid w:val="000C3E7F"/>
    <w:pPr>
      <w:tabs>
        <w:tab w:val="left" w:pos="1361"/>
        <w:tab w:val="right" w:pos="8505"/>
      </w:tabs>
      <w:spacing w:after="0"/>
      <w:ind w:left="567"/>
    </w:pPr>
    <w:rPr>
      <w:color w:val="00685B" w:themeColor="accent3"/>
      <w:sz w:val="24"/>
    </w:rPr>
  </w:style>
  <w:style w:type="table" w:customStyle="1" w:styleId="XPSTABLE02">
    <w:name w:val="XPS_TABLE_02"/>
    <w:basedOn w:val="TableGrid"/>
    <w:uiPriority w:val="99"/>
    <w:rsid w:val="007E18E6"/>
    <w:pPr>
      <w:ind w:right="113"/>
      <w:contextualSpacing/>
    </w:pPr>
    <w:tblPr>
      <w:tblBorders>
        <w:top w:val="single" w:sz="2" w:space="0" w:color="auto"/>
        <w:insideH w:val="single" w:sz="2" w:space="0" w:color="auto"/>
      </w:tblBorders>
      <w:tblCellMar>
        <w:top w:w="57" w:type="dxa"/>
        <w:bottom w:w="57" w:type="dxa"/>
      </w:tblCellMar>
    </w:tblPr>
    <w:tblStylePr w:type="firstRow">
      <w:rPr>
        <w:rFonts w:ascii="Segoe UI" w:hAnsi="Segoe UI"/>
        <w:b/>
        <w:sz w:val="14"/>
      </w:rPr>
    </w:tblStylePr>
    <w:tblStylePr w:type="lastRow">
      <w:rPr>
        <w:rFonts w:ascii="Segoe UI" w:hAnsi="Segoe UI"/>
        <w:b/>
        <w:color w:val="00A9E0" w:themeColor="text2"/>
      </w:rPr>
    </w:tblStylePr>
    <w:tblStylePr w:type="firstCol">
      <w:rPr>
        <w:rFonts w:asciiTheme="minorHAnsi" w:hAnsiTheme="minorHAnsi"/>
        <w:b w:val="0"/>
        <w:color w:val="00A9E0" w:themeColor="text2"/>
      </w:rPr>
    </w:tblStylePr>
  </w:style>
  <w:style w:type="paragraph" w:customStyle="1" w:styleId="BackCoverDisclaimerHeadings">
    <w:name w:val="Back Cover Disclaimer Headings"/>
    <w:basedOn w:val="BackCoverDisclaimer"/>
    <w:uiPriority w:val="9"/>
    <w:qFormat/>
    <w:rsid w:val="000C3E7F"/>
    <w:pPr>
      <w:spacing w:after="0"/>
    </w:pPr>
    <w:rPr>
      <w:b/>
    </w:rPr>
  </w:style>
  <w:style w:type="paragraph" w:customStyle="1" w:styleId="TableText">
    <w:name w:val="Table Text"/>
    <w:basedOn w:val="Normal"/>
    <w:next w:val="Normal"/>
    <w:uiPriority w:val="9"/>
    <w:qFormat/>
    <w:rsid w:val="007E18E6"/>
    <w:pPr>
      <w:spacing w:after="0"/>
      <w:contextualSpacing/>
    </w:pPr>
  </w:style>
  <w:style w:type="paragraph" w:customStyle="1" w:styleId="Heading2NoTOC">
    <w:name w:val="Heading 2 No TOC"/>
    <w:basedOn w:val="Heading2"/>
    <w:next w:val="Normal"/>
    <w:uiPriority w:val="1"/>
    <w:qFormat/>
    <w:rsid w:val="00FB5C1C"/>
  </w:style>
  <w:style w:type="paragraph" w:customStyle="1" w:styleId="AppendixHeading2NoTOC">
    <w:name w:val="Appendix Heading 2 No TOC"/>
    <w:basedOn w:val="AppendixHeading2"/>
    <w:next w:val="Normal"/>
    <w:uiPriority w:val="2"/>
    <w:qFormat/>
    <w:rsid w:val="00F40CF5"/>
  </w:style>
  <w:style w:type="paragraph" w:customStyle="1" w:styleId="Heading2NotNumbered">
    <w:name w:val="Heading 2 Not Numbered"/>
    <w:basedOn w:val="Heading2"/>
    <w:next w:val="Normal"/>
    <w:uiPriority w:val="1"/>
    <w:qFormat/>
    <w:rsid w:val="00D91B25"/>
    <w:pPr>
      <w:numPr>
        <w:ilvl w:val="0"/>
        <w:numId w:val="0"/>
      </w:numPr>
    </w:pPr>
  </w:style>
  <w:style w:type="paragraph" w:customStyle="1" w:styleId="BackCoverDisclaimer">
    <w:name w:val="Back Cover Disclaimer"/>
    <w:basedOn w:val="Disclaimer"/>
    <w:next w:val="Normal"/>
    <w:uiPriority w:val="9"/>
    <w:qFormat/>
    <w:rsid w:val="00794292"/>
    <w:rPr>
      <w:color w:val="000000" w:themeColor="text1"/>
    </w:rPr>
  </w:style>
  <w:style w:type="paragraph" w:customStyle="1" w:styleId="Heading3NotNumbered">
    <w:name w:val="Heading 3 Not Numbered"/>
    <w:basedOn w:val="Heading3"/>
    <w:next w:val="Normal"/>
    <w:uiPriority w:val="1"/>
    <w:qFormat/>
    <w:rsid w:val="00DB2712"/>
    <w:pPr>
      <w:numPr>
        <w:ilvl w:val="0"/>
        <w:numId w:val="0"/>
      </w:numPr>
    </w:pPr>
  </w:style>
  <w:style w:type="paragraph" w:customStyle="1" w:styleId="BackCoverURL">
    <w:name w:val="Back Cover URL"/>
    <w:basedOn w:val="BackCoverContactUs"/>
    <w:uiPriority w:val="9"/>
    <w:qFormat/>
    <w:rsid w:val="004C0B71"/>
    <w:rPr>
      <w:color w:val="000000" w:themeColor="text1"/>
    </w:rPr>
  </w:style>
  <w:style w:type="character" w:customStyle="1" w:styleId="Heading7Char">
    <w:name w:val="Heading 7 Char"/>
    <w:basedOn w:val="DefaultParagraphFont"/>
    <w:link w:val="Heading7"/>
    <w:uiPriority w:val="9"/>
    <w:semiHidden/>
    <w:rsid w:val="005F3C56"/>
    <w:rPr>
      <w:rFonts w:asciiTheme="majorHAnsi" w:eastAsiaTheme="majorEastAsia" w:hAnsiTheme="majorHAnsi" w:cstheme="majorBidi"/>
      <w:i/>
      <w:iCs/>
      <w:color w:val="404040" w:themeColor="text1" w:themeTint="BF"/>
    </w:rPr>
  </w:style>
  <w:style w:type="paragraph" w:customStyle="1" w:styleId="AppendixHeading1">
    <w:name w:val="Appendix Heading 1"/>
    <w:next w:val="Normal"/>
    <w:uiPriority w:val="2"/>
    <w:qFormat/>
    <w:rsid w:val="00AB7B5D"/>
    <w:pPr>
      <w:keepNext/>
      <w:pageBreakBefore/>
      <w:framePr w:w="7853" w:h="2268" w:hRule="exact" w:wrap="around" w:vAnchor="text" w:hAnchor="page" w:x="655" w:y="-338"/>
      <w:numPr>
        <w:numId w:val="16"/>
      </w:numPr>
      <w:spacing w:before="100" w:line="192" w:lineRule="auto"/>
    </w:pPr>
    <w:rPr>
      <w:rFonts w:eastAsiaTheme="majorEastAsia" w:cstheme="minorHAnsi"/>
      <w:sz w:val="60"/>
      <w:szCs w:val="32"/>
    </w:rPr>
  </w:style>
  <w:style w:type="paragraph" w:customStyle="1" w:styleId="AppendixHeading2">
    <w:name w:val="Appendix Heading 2"/>
    <w:next w:val="Normal"/>
    <w:uiPriority w:val="2"/>
    <w:qFormat/>
    <w:rsid w:val="00F40CF5"/>
    <w:pPr>
      <w:keepNext/>
      <w:numPr>
        <w:ilvl w:val="1"/>
        <w:numId w:val="16"/>
      </w:numPr>
      <w:pBdr>
        <w:bottom w:val="single" w:sz="2" w:space="3" w:color="00A9E0" w:themeColor="text2"/>
      </w:pBdr>
      <w:spacing w:before="360" w:after="60"/>
    </w:pPr>
    <w:rPr>
      <w:rFonts w:ascii="Segoe UI" w:hAnsi="Segoe UI"/>
      <w:b/>
      <w:color w:val="00A9E0" w:themeColor="text2"/>
      <w:sz w:val="24"/>
    </w:rPr>
  </w:style>
  <w:style w:type="paragraph" w:customStyle="1" w:styleId="AppendixHeading3">
    <w:name w:val="Appendix Heading 3"/>
    <w:next w:val="Normal"/>
    <w:uiPriority w:val="2"/>
    <w:qFormat/>
    <w:rsid w:val="00BC12D7"/>
    <w:pPr>
      <w:keepNext/>
      <w:numPr>
        <w:ilvl w:val="2"/>
        <w:numId w:val="16"/>
      </w:numPr>
      <w:spacing w:before="100"/>
    </w:pPr>
    <w:rPr>
      <w:rFonts w:ascii="Segoe UI" w:hAnsi="Segoe UI"/>
      <w:b/>
    </w:rPr>
  </w:style>
  <w:style w:type="paragraph" w:customStyle="1" w:styleId="BackCoverContactUs">
    <w:name w:val="Back Cover Contact Us"/>
    <w:uiPriority w:val="9"/>
    <w:qFormat/>
    <w:rsid w:val="004C0B71"/>
    <w:pPr>
      <w:spacing w:line="185" w:lineRule="auto"/>
    </w:pPr>
    <w:rPr>
      <w:rFonts w:ascii="Segoe UI" w:hAnsi="Segoe UI" w:cs="Segoe UI"/>
      <w:b/>
      <w:color w:val="00A9E0" w:themeColor="text2"/>
      <w:sz w:val="40"/>
      <w:szCs w:val="40"/>
    </w:rPr>
  </w:style>
  <w:style w:type="character" w:customStyle="1" w:styleId="TableTextBlue">
    <w:name w:val="Table Text Blue"/>
    <w:basedOn w:val="DefaultParagraphFont"/>
    <w:uiPriority w:val="9"/>
    <w:qFormat/>
    <w:rsid w:val="007E18E6"/>
    <w:rPr>
      <w:color w:val="00A9E0" w:themeColor="text2"/>
    </w:rPr>
  </w:style>
  <w:style w:type="paragraph" w:customStyle="1" w:styleId="Bold">
    <w:name w:val="Bold"/>
    <w:basedOn w:val="ListBullet3"/>
    <w:rsid w:val="00AB7B5D"/>
    <w:pPr>
      <w:numPr>
        <w:ilvl w:val="0"/>
        <w:numId w:val="0"/>
      </w:numPr>
    </w:pPr>
    <w:rPr>
      <w:rFonts w:ascii="Segoe UI" w:hAnsi="Segoe UI" w:cs="Segoe UI"/>
      <w:b/>
    </w:rPr>
  </w:style>
  <w:style w:type="paragraph" w:styleId="Revision">
    <w:name w:val="Revision"/>
    <w:hidden/>
    <w:uiPriority w:val="99"/>
    <w:semiHidden/>
    <w:rsid w:val="002567A0"/>
    <w:pPr>
      <w:spacing w:line="240" w:lineRule="auto"/>
    </w:pPr>
    <w:rPr>
      <w:rFonts w:ascii="Segoe UI Semilight" w:eastAsia="Times New Roman" w:hAnsi="Segoe UI Semilight" w:cs="Times New Roman"/>
      <w:lang w:eastAsia="en-US"/>
    </w:rPr>
  </w:style>
  <w:style w:type="character" w:styleId="CommentReference">
    <w:name w:val="annotation reference"/>
    <w:basedOn w:val="DefaultParagraphFont"/>
    <w:uiPriority w:val="99"/>
    <w:semiHidden/>
    <w:unhideWhenUsed/>
    <w:rsid w:val="00BF0028"/>
    <w:rPr>
      <w:sz w:val="16"/>
      <w:szCs w:val="16"/>
    </w:rPr>
  </w:style>
  <w:style w:type="paragraph" w:styleId="CommentText">
    <w:name w:val="annotation text"/>
    <w:basedOn w:val="Normal"/>
    <w:link w:val="CommentTextChar"/>
    <w:uiPriority w:val="99"/>
    <w:unhideWhenUsed/>
    <w:rsid w:val="00BF0028"/>
    <w:pPr>
      <w:spacing w:line="240" w:lineRule="auto"/>
    </w:pPr>
  </w:style>
  <w:style w:type="character" w:customStyle="1" w:styleId="CommentTextChar">
    <w:name w:val="Comment Text Char"/>
    <w:basedOn w:val="DefaultParagraphFont"/>
    <w:link w:val="CommentText"/>
    <w:uiPriority w:val="99"/>
    <w:rsid w:val="00BF0028"/>
    <w:rPr>
      <w:rFonts w:ascii="Segoe UI Semilight" w:eastAsia="Times New Roman" w:hAnsi="Segoe UI Semilight" w:cs="Times New Roman"/>
      <w:lang w:eastAsia="en-US"/>
    </w:rPr>
  </w:style>
  <w:style w:type="paragraph" w:styleId="CommentSubject">
    <w:name w:val="annotation subject"/>
    <w:basedOn w:val="CommentText"/>
    <w:next w:val="CommentText"/>
    <w:link w:val="CommentSubjectChar"/>
    <w:uiPriority w:val="99"/>
    <w:semiHidden/>
    <w:unhideWhenUsed/>
    <w:rsid w:val="00BF0028"/>
    <w:rPr>
      <w:b/>
      <w:bCs/>
    </w:rPr>
  </w:style>
  <w:style w:type="character" w:customStyle="1" w:styleId="CommentSubjectChar">
    <w:name w:val="Comment Subject Char"/>
    <w:basedOn w:val="CommentTextChar"/>
    <w:link w:val="CommentSubject"/>
    <w:uiPriority w:val="99"/>
    <w:semiHidden/>
    <w:rsid w:val="00BF0028"/>
    <w:rPr>
      <w:rFonts w:ascii="Segoe UI Semilight" w:eastAsia="Times New Roman" w:hAnsi="Segoe UI Semilight" w:cs="Times New Roman"/>
      <w:b/>
      <w:bCs/>
      <w:lang w:eastAsia="en-US"/>
    </w:rPr>
  </w:style>
  <w:style w:type="paragraph" w:styleId="ListParagraph">
    <w:name w:val="List Paragraph"/>
    <w:basedOn w:val="Normal"/>
    <w:uiPriority w:val="34"/>
    <w:rsid w:val="00C55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3135">
      <w:bodyDiv w:val="1"/>
      <w:marLeft w:val="0"/>
      <w:marRight w:val="0"/>
      <w:marTop w:val="0"/>
      <w:marBottom w:val="0"/>
      <w:divBdr>
        <w:top w:val="none" w:sz="0" w:space="0" w:color="auto"/>
        <w:left w:val="none" w:sz="0" w:space="0" w:color="auto"/>
        <w:bottom w:val="none" w:sz="0" w:space="0" w:color="auto"/>
        <w:right w:val="none" w:sz="0" w:space="0" w:color="auto"/>
      </w:divBdr>
    </w:div>
    <w:div w:id="633875201">
      <w:bodyDiv w:val="1"/>
      <w:marLeft w:val="0"/>
      <w:marRight w:val="0"/>
      <w:marTop w:val="0"/>
      <w:marBottom w:val="0"/>
      <w:divBdr>
        <w:top w:val="none" w:sz="0" w:space="0" w:color="auto"/>
        <w:left w:val="none" w:sz="0" w:space="0" w:color="auto"/>
        <w:bottom w:val="none" w:sz="0" w:space="0" w:color="auto"/>
        <w:right w:val="none" w:sz="0" w:space="0" w:color="auto"/>
      </w:divBdr>
    </w:div>
    <w:div w:id="781414052">
      <w:bodyDiv w:val="1"/>
      <w:marLeft w:val="0"/>
      <w:marRight w:val="0"/>
      <w:marTop w:val="0"/>
      <w:marBottom w:val="0"/>
      <w:divBdr>
        <w:top w:val="none" w:sz="0" w:space="0" w:color="auto"/>
        <w:left w:val="none" w:sz="0" w:space="0" w:color="auto"/>
        <w:bottom w:val="none" w:sz="0" w:space="0" w:color="auto"/>
        <w:right w:val="none" w:sz="0" w:space="0" w:color="auto"/>
      </w:divBdr>
    </w:div>
    <w:div w:id="913586326">
      <w:bodyDiv w:val="1"/>
      <w:marLeft w:val="0"/>
      <w:marRight w:val="0"/>
      <w:marTop w:val="0"/>
      <w:marBottom w:val="0"/>
      <w:divBdr>
        <w:top w:val="none" w:sz="0" w:space="0" w:color="auto"/>
        <w:left w:val="none" w:sz="0" w:space="0" w:color="auto"/>
        <w:bottom w:val="none" w:sz="0" w:space="0" w:color="auto"/>
        <w:right w:val="none" w:sz="0" w:space="0" w:color="auto"/>
      </w:divBdr>
    </w:div>
    <w:div w:id="1038622905">
      <w:bodyDiv w:val="1"/>
      <w:marLeft w:val="0"/>
      <w:marRight w:val="0"/>
      <w:marTop w:val="0"/>
      <w:marBottom w:val="0"/>
      <w:divBdr>
        <w:top w:val="none" w:sz="0" w:space="0" w:color="auto"/>
        <w:left w:val="none" w:sz="0" w:space="0" w:color="auto"/>
        <w:bottom w:val="none" w:sz="0" w:space="0" w:color="auto"/>
        <w:right w:val="none" w:sz="0" w:space="0" w:color="auto"/>
      </w:divBdr>
    </w:div>
    <w:div w:id="1114665678">
      <w:bodyDiv w:val="1"/>
      <w:marLeft w:val="0"/>
      <w:marRight w:val="0"/>
      <w:marTop w:val="0"/>
      <w:marBottom w:val="0"/>
      <w:divBdr>
        <w:top w:val="none" w:sz="0" w:space="0" w:color="auto"/>
        <w:left w:val="none" w:sz="0" w:space="0" w:color="auto"/>
        <w:bottom w:val="none" w:sz="0" w:space="0" w:color="auto"/>
        <w:right w:val="none" w:sz="0" w:space="0" w:color="auto"/>
      </w:divBdr>
    </w:div>
    <w:div w:id="1581138445">
      <w:bodyDiv w:val="1"/>
      <w:marLeft w:val="0"/>
      <w:marRight w:val="0"/>
      <w:marTop w:val="0"/>
      <w:marBottom w:val="0"/>
      <w:divBdr>
        <w:top w:val="none" w:sz="0" w:space="0" w:color="auto"/>
        <w:left w:val="none" w:sz="0" w:space="0" w:color="auto"/>
        <w:bottom w:val="none" w:sz="0" w:space="0" w:color="auto"/>
        <w:right w:val="none" w:sz="0" w:space="0" w:color="auto"/>
      </w:divBdr>
    </w:div>
    <w:div w:id="1693799751">
      <w:bodyDiv w:val="1"/>
      <w:marLeft w:val="0"/>
      <w:marRight w:val="0"/>
      <w:marTop w:val="0"/>
      <w:marBottom w:val="0"/>
      <w:divBdr>
        <w:top w:val="none" w:sz="0" w:space="0" w:color="auto"/>
        <w:left w:val="none" w:sz="0" w:space="0" w:color="auto"/>
        <w:bottom w:val="none" w:sz="0" w:space="0" w:color="auto"/>
        <w:right w:val="none" w:sz="0" w:space="0" w:color="auto"/>
      </w:divBdr>
    </w:div>
    <w:div w:id="18968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XPS_SIMPLE_REPORT_COLORS_2018">
      <a:dk1>
        <a:srgbClr val="000000"/>
      </a:dk1>
      <a:lt1>
        <a:sysClr val="window" lastClr="FFFFFF"/>
      </a:lt1>
      <a:dk2>
        <a:srgbClr val="00A9E0"/>
      </a:dk2>
      <a:lt2>
        <a:srgbClr val="E6E6E6"/>
      </a:lt2>
      <a:accent1>
        <a:srgbClr val="00A9E0"/>
      </a:accent1>
      <a:accent2>
        <a:srgbClr val="00338D"/>
      </a:accent2>
      <a:accent3>
        <a:srgbClr val="00685B"/>
      </a:accent3>
      <a:accent4>
        <a:srgbClr val="BED600"/>
      </a:accent4>
      <a:accent5>
        <a:srgbClr val="E05206"/>
      </a:accent5>
      <a:accent6>
        <a:srgbClr val="F04D98"/>
      </a:accent6>
      <a:hlink>
        <a:srgbClr val="333C41"/>
      </a:hlink>
      <a:folHlink>
        <a:srgbClr val="333C41"/>
      </a:folHlink>
    </a:clrScheme>
    <a:fontScheme name="XPS_CLIENT_REPORT_FONTS_2018">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XPSBusiness xmlns="3624d88b-731e-4658-9b41-2c0da6bdd2d8">XPS Investment</XPSBusine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D3546E40CB146B981F26449E6A79A" ma:contentTypeVersion="3" ma:contentTypeDescription="Create a new document." ma:contentTypeScope="" ma:versionID="908f1bee73c12972e2b174158cfb3e6f">
  <xsd:schema xmlns:xsd="http://www.w3.org/2001/XMLSchema" xmlns:xs="http://www.w3.org/2001/XMLSchema" xmlns:p="http://schemas.microsoft.com/office/2006/metadata/properties" xmlns:ns2="3624d88b-731e-4658-9b41-2c0da6bdd2d8" targetNamespace="http://schemas.microsoft.com/office/2006/metadata/properties" ma:root="true" ma:fieldsID="2a02ce22755f0274dad33df711508a49" ns2:_="">
    <xsd:import namespace="3624d88b-731e-4658-9b41-2c0da6bdd2d8"/>
    <xsd:element name="properties">
      <xsd:complexType>
        <xsd:sequence>
          <xsd:element name="documentManagement">
            <xsd:complexType>
              <xsd:all>
                <xsd:element ref="ns2:MediaServiceMetadata" minOccurs="0"/>
                <xsd:element ref="ns2:MediaServiceFastMetadata" minOccurs="0"/>
                <xsd:element ref="ns2:XPSBusin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4d88b-731e-4658-9b41-2c0da6bd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XPSBusiness" ma:index="10" ma:displayName="XPS Business" ma:format="Dropdown" ma:internalName="XPSBusiness">
      <xsd:simpleType>
        <xsd:restriction base="dms:Choice">
          <xsd:enumeration value="XPS Pensions Group"/>
          <xsd:enumeration value="XPS Group"/>
          <xsd:enumeration value="XPS Pensions"/>
          <xsd:enumeration value="XPS Administration"/>
          <xsd:enumeration value="XPS Investment"/>
          <xsd:enumeration value="XPS Corporate"/>
          <xsd:enumeration value="XPS Pensions Solutions Group"/>
          <xsd:enumeration value="SIPP/SS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E1AB3-3B71-4109-80AA-8CF87C4238AE}">
  <ds:schemaRefs>
    <ds:schemaRef ds:uri="http://schemas.microsoft.com/office/2006/metadata/properties"/>
    <ds:schemaRef ds:uri="3624d88b-731e-4658-9b41-2c0da6bdd2d8"/>
  </ds:schemaRefs>
</ds:datastoreItem>
</file>

<file path=customXml/itemProps2.xml><?xml version="1.0" encoding="utf-8"?>
<ds:datastoreItem xmlns:ds="http://schemas.openxmlformats.org/officeDocument/2006/customXml" ds:itemID="{58B38FEF-7D24-4E71-AF63-635C547B0E33}">
  <ds:schemaRefs>
    <ds:schemaRef ds:uri="http://schemas.microsoft.com/sharepoint/v3/contenttype/forms"/>
  </ds:schemaRefs>
</ds:datastoreItem>
</file>

<file path=customXml/itemProps3.xml><?xml version="1.0" encoding="utf-8"?>
<ds:datastoreItem xmlns:ds="http://schemas.openxmlformats.org/officeDocument/2006/customXml" ds:itemID="{25E1D9BC-B886-41B6-8555-5933408EF8C6}">
  <ds:schemaRefs>
    <ds:schemaRef ds:uri="http://schemas.openxmlformats.org/officeDocument/2006/bibliography"/>
  </ds:schemaRefs>
</ds:datastoreItem>
</file>

<file path=customXml/itemProps4.xml><?xml version="1.0" encoding="utf-8"?>
<ds:datastoreItem xmlns:ds="http://schemas.openxmlformats.org/officeDocument/2006/customXml" ds:itemID="{1D191141-A87B-4976-BC12-5D3145EC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4d88b-731e-4658-9b41-2c0da6bd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XPS Investment Blank Document</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XPS Investment Blank Document</dc:title>
  <dc:creator>Rachel Horton</dc:creator>
  <cp:lastModifiedBy>Steven Hickey</cp:lastModifiedBy>
  <cp:revision>17</cp:revision>
  <cp:lastPrinted>2018-06-11T11:27:00Z</cp:lastPrinted>
  <dcterms:created xsi:type="dcterms:W3CDTF">2024-01-11T11:26:00Z</dcterms:created>
  <dcterms:modified xsi:type="dcterms:W3CDTF">2024-01-11T12:20:00Z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0x01010054ED3546E40CB146B981F26449E6A79A</vt:lpwstr>
  </property>
</Properties>
</file>